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F6207">
      <w:pPr>
        <w:spacing w:line="360" w:lineRule="auto"/>
        <w:jc w:val="center"/>
        <w:rPr>
          <w:rFonts w:hint="eastAsia" w:ascii="宋体" w:hAnsi="宋体" w:eastAsia="宋体"/>
          <w:b/>
          <w:bCs/>
          <w:sz w:val="30"/>
          <w:szCs w:val="30"/>
        </w:rPr>
      </w:pPr>
      <w:r>
        <w:rPr>
          <w:rFonts w:hint="eastAsia" w:ascii="宋体" w:hAnsi="宋体" w:eastAsia="宋体"/>
          <w:b/>
          <w:bCs/>
          <w:sz w:val="30"/>
          <w:szCs w:val="30"/>
        </w:rPr>
        <w:t xml:space="preserve"> 山东好当家海洋发展股份有限公司</w:t>
      </w:r>
    </w:p>
    <w:p w14:paraId="57D2603C">
      <w:pPr>
        <w:spacing w:line="360" w:lineRule="auto"/>
        <w:jc w:val="center"/>
        <w:rPr>
          <w:rFonts w:hint="eastAsia" w:ascii="宋体" w:hAnsi="宋体" w:eastAsia="宋体"/>
          <w:b/>
          <w:bCs/>
          <w:sz w:val="30"/>
          <w:szCs w:val="30"/>
        </w:rPr>
      </w:pPr>
      <w:r>
        <w:rPr>
          <w:rFonts w:hint="eastAsia" w:ascii="宋体" w:hAnsi="宋体" w:eastAsia="宋体"/>
          <w:b/>
          <w:bCs/>
          <w:sz w:val="30"/>
          <w:szCs w:val="30"/>
        </w:rPr>
        <w:t>对和信会计师事务所（特殊普通合伙）履职情况评估的报告</w:t>
      </w:r>
    </w:p>
    <w:p w14:paraId="3F670049">
      <w:pPr>
        <w:spacing w:line="360" w:lineRule="auto"/>
        <w:jc w:val="center"/>
        <w:rPr>
          <w:rFonts w:hint="eastAsia" w:ascii="宋体" w:hAnsi="宋体" w:eastAsia="宋体"/>
          <w:b/>
          <w:bCs/>
          <w:sz w:val="30"/>
          <w:szCs w:val="30"/>
        </w:rPr>
      </w:pPr>
    </w:p>
    <w:p w14:paraId="2A345637">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公司聘请和信会计师事务所（特殊普通合伙）（以下简称“和信”）作为公司</w:t>
      </w:r>
      <w:r>
        <w:rPr>
          <w:rFonts w:ascii="宋体" w:hAnsi="宋体" w:eastAsia="宋体"/>
          <w:sz w:val="24"/>
          <w:szCs w:val="24"/>
        </w:rPr>
        <w:t>202</w:t>
      </w:r>
      <w:r>
        <w:rPr>
          <w:rFonts w:hint="eastAsia" w:ascii="宋体" w:hAnsi="宋体" w:eastAsia="宋体"/>
          <w:sz w:val="24"/>
          <w:szCs w:val="24"/>
          <w:lang w:val="en-US" w:eastAsia="zh-CN"/>
        </w:rPr>
        <w:t>5</w:t>
      </w:r>
      <w:bookmarkStart w:id="0" w:name="_GoBack"/>
      <w:bookmarkEnd w:id="0"/>
      <w:r>
        <w:rPr>
          <w:rFonts w:ascii="宋体" w:hAnsi="宋体" w:eastAsia="宋体"/>
          <w:sz w:val="24"/>
          <w:szCs w:val="24"/>
        </w:rPr>
        <w:t>年度审计机构。根据财政部及证监会颁布的《国有企</w:t>
      </w:r>
      <w:r>
        <w:rPr>
          <w:rFonts w:hint="eastAsia" w:ascii="宋体" w:hAnsi="宋体" w:eastAsia="宋体"/>
          <w:sz w:val="24"/>
          <w:szCs w:val="24"/>
        </w:rPr>
        <w:t>业、上市公司选聘会计师事务所管理办法》《关于上市做好选聘会计师事务所工作的提醒》等法律法规的要求，公司对和信在近一年审计中的履职情况进行了评估，具体情况如下：</w:t>
      </w:r>
    </w:p>
    <w:p w14:paraId="3A9393F7">
      <w:pPr>
        <w:spacing w:line="360" w:lineRule="auto"/>
        <w:rPr>
          <w:rFonts w:hint="eastAsia" w:ascii="宋体" w:hAnsi="宋体" w:eastAsia="宋体"/>
          <w:b/>
          <w:bCs/>
          <w:sz w:val="24"/>
          <w:szCs w:val="24"/>
        </w:rPr>
      </w:pPr>
      <w:r>
        <w:rPr>
          <w:rFonts w:hint="eastAsia" w:ascii="宋体" w:hAnsi="宋体" w:eastAsia="宋体"/>
          <w:b/>
          <w:bCs/>
          <w:sz w:val="24"/>
          <w:szCs w:val="24"/>
        </w:rPr>
        <w:t>一、</w:t>
      </w:r>
      <w:r>
        <w:rPr>
          <w:rFonts w:ascii="宋体" w:hAnsi="宋体" w:eastAsia="宋体"/>
          <w:b/>
          <w:bCs/>
          <w:sz w:val="24"/>
          <w:szCs w:val="24"/>
        </w:rPr>
        <w:t>202</w:t>
      </w:r>
      <w:r>
        <w:rPr>
          <w:rFonts w:hint="eastAsia" w:ascii="宋体" w:hAnsi="宋体" w:eastAsia="宋体"/>
          <w:b/>
          <w:bCs/>
          <w:sz w:val="24"/>
          <w:szCs w:val="24"/>
          <w:lang w:val="en-US" w:eastAsia="zh-CN"/>
        </w:rPr>
        <w:t>5</w:t>
      </w:r>
      <w:r>
        <w:rPr>
          <w:rFonts w:ascii="宋体" w:hAnsi="宋体" w:eastAsia="宋体"/>
          <w:b/>
          <w:bCs/>
          <w:sz w:val="24"/>
          <w:szCs w:val="24"/>
        </w:rPr>
        <w:t>年度会计师事务所基本情况</w:t>
      </w:r>
    </w:p>
    <w:p w14:paraId="589E0DE9">
      <w:pPr>
        <w:spacing w:before="156" w:beforeLines="50" w:after="156" w:afterLines="50" w:line="360" w:lineRule="auto"/>
        <w:ind w:firstLine="482"/>
        <w:rPr>
          <w:rFonts w:hint="eastAsia" w:ascii="宋体" w:hAnsi="宋体" w:eastAsia="宋体"/>
          <w:sz w:val="24"/>
          <w:szCs w:val="24"/>
        </w:rPr>
      </w:pPr>
      <w:r>
        <w:rPr>
          <w:rFonts w:hint="eastAsia" w:ascii="宋体" w:hAnsi="宋体" w:eastAsia="宋体"/>
          <w:sz w:val="24"/>
          <w:szCs w:val="24"/>
        </w:rPr>
        <w:t>和信成立于1987年12月，经财政部批准于2013年4月转制为特殊普通合伙企业，名称为山东和信会计师事务所（特殊普通合伙），2019年7月更名为和信会计师事务所（特殊普通合伙）。注册地址为山东省济南市，首席合伙人为王晖先生。</w:t>
      </w:r>
    </w:p>
    <w:p w14:paraId="42888354">
      <w:pPr>
        <w:spacing w:before="156" w:beforeLines="50" w:after="156" w:afterLines="50" w:line="360" w:lineRule="auto"/>
        <w:ind w:firstLine="482"/>
        <w:rPr>
          <w:rFonts w:hint="eastAsia" w:ascii="宋体" w:hAnsi="宋体" w:eastAsia="宋体"/>
          <w:sz w:val="24"/>
          <w:szCs w:val="24"/>
        </w:rPr>
      </w:pPr>
      <w:r>
        <w:rPr>
          <w:rFonts w:hint="eastAsia" w:ascii="宋体" w:hAnsi="宋体" w:eastAsia="宋体"/>
          <w:sz w:val="24"/>
          <w:szCs w:val="24"/>
        </w:rPr>
        <w:t>和信已取得山东省财政厅颁发的执业证书，是中国首批获得证券期货相关业务资格的会计师事务所之一，具有 30 余年的证券业务从业经验。和信是国际会计网络HLB浩信国际的成员所，2019年获得德国注册会计师公会(WPK)核发的《第三国会计师事务所注册证书》。</w:t>
      </w:r>
    </w:p>
    <w:p w14:paraId="0A2305A3">
      <w:pPr>
        <w:spacing w:before="156" w:beforeLines="50" w:after="156" w:afterLines="50" w:line="360" w:lineRule="auto"/>
        <w:ind w:firstLine="482"/>
        <w:rPr>
          <w:rFonts w:hint="eastAsia" w:ascii="宋体" w:hAnsi="宋体" w:eastAsia="宋体"/>
          <w:sz w:val="24"/>
          <w:szCs w:val="24"/>
        </w:rPr>
      </w:pPr>
      <w:r>
        <w:rPr>
          <w:rFonts w:hint="eastAsia" w:ascii="宋体" w:hAnsi="宋体" w:eastAsia="宋体"/>
          <w:sz w:val="24"/>
          <w:szCs w:val="24"/>
        </w:rPr>
        <w:t>和信上年度末合伙人数量为45人，注册会计师人数为254人，其中签署过证券服务业务审计报告的注册会计师人数为139人。</w:t>
      </w:r>
    </w:p>
    <w:p w14:paraId="7C9BE2B4">
      <w:pPr>
        <w:spacing w:before="156" w:beforeLines="50" w:after="156" w:afterLines="50" w:line="360" w:lineRule="auto"/>
        <w:ind w:firstLine="482"/>
        <w:rPr>
          <w:rFonts w:hint="eastAsia" w:ascii="宋体" w:hAnsi="宋体" w:eastAsia="宋体"/>
          <w:sz w:val="24"/>
          <w:szCs w:val="24"/>
        </w:rPr>
      </w:pPr>
      <w:r>
        <w:rPr>
          <w:rFonts w:hint="eastAsia" w:ascii="宋体" w:hAnsi="宋体" w:eastAsia="宋体"/>
          <w:sz w:val="24"/>
          <w:szCs w:val="24"/>
        </w:rPr>
        <w:t>和信会计师事务所上年度经审计的收入总额为</w:t>
      </w:r>
      <w:r>
        <w:rPr>
          <w:rFonts w:hint="eastAsia" w:ascii="宋体" w:hAnsi="宋体" w:eastAsia="宋体"/>
          <w:sz w:val="24"/>
          <w:szCs w:val="24"/>
          <w:lang w:val="en-US" w:eastAsia="zh-CN"/>
        </w:rPr>
        <w:t>25419</w:t>
      </w:r>
      <w:r>
        <w:rPr>
          <w:rFonts w:hint="eastAsia" w:ascii="宋体" w:hAnsi="宋体" w:eastAsia="宋体"/>
          <w:sz w:val="24"/>
          <w:szCs w:val="24"/>
        </w:rPr>
        <w:t>万元，其中审计业务收入</w:t>
      </w:r>
      <w:r>
        <w:rPr>
          <w:rFonts w:hint="eastAsia" w:ascii="宋体" w:hAnsi="宋体" w:eastAsia="宋体"/>
          <w:sz w:val="24"/>
          <w:szCs w:val="24"/>
          <w:lang w:val="en-US" w:eastAsia="zh-CN"/>
        </w:rPr>
        <w:t>18149</w:t>
      </w:r>
      <w:r>
        <w:rPr>
          <w:rFonts w:hint="eastAsia" w:ascii="宋体" w:hAnsi="宋体" w:eastAsia="宋体"/>
          <w:sz w:val="24"/>
          <w:szCs w:val="24"/>
        </w:rPr>
        <w:t>万元，证券业务收入</w:t>
      </w:r>
      <w:r>
        <w:rPr>
          <w:rFonts w:ascii="宋体" w:hAnsi="宋体" w:eastAsia="宋体"/>
          <w:sz w:val="24"/>
          <w:szCs w:val="24"/>
        </w:rPr>
        <w:t>9</w:t>
      </w:r>
      <w:r>
        <w:rPr>
          <w:rFonts w:hint="eastAsia" w:ascii="宋体" w:hAnsi="宋体" w:eastAsia="宋体"/>
          <w:sz w:val="24"/>
          <w:szCs w:val="24"/>
          <w:lang w:val="en-US" w:eastAsia="zh-CN"/>
        </w:rPr>
        <w:t>035</w:t>
      </w:r>
      <w:r>
        <w:rPr>
          <w:rFonts w:hint="eastAsia" w:ascii="宋体" w:hAnsi="宋体" w:eastAsia="宋体"/>
          <w:sz w:val="24"/>
          <w:szCs w:val="24"/>
        </w:rPr>
        <w:t>万元。</w:t>
      </w:r>
    </w:p>
    <w:p w14:paraId="0354FED8">
      <w:pPr>
        <w:spacing w:before="156" w:beforeLines="50" w:after="156" w:afterLines="50" w:line="360" w:lineRule="auto"/>
        <w:ind w:firstLine="482"/>
        <w:rPr>
          <w:rFonts w:hint="eastAsia" w:ascii="宋体" w:hAnsi="宋体" w:eastAsia="宋体"/>
          <w:sz w:val="24"/>
          <w:szCs w:val="24"/>
        </w:rPr>
      </w:pPr>
      <w:r>
        <w:rPr>
          <w:rFonts w:hint="eastAsia" w:ascii="宋体" w:hAnsi="宋体" w:eastAsia="宋体"/>
          <w:sz w:val="24"/>
          <w:szCs w:val="24"/>
        </w:rPr>
        <w:t xml:space="preserve">和信上年度上市公司审计客户共 </w:t>
      </w:r>
      <w:r>
        <w:rPr>
          <w:rFonts w:hint="eastAsia" w:ascii="宋体" w:hAnsi="宋体" w:eastAsia="宋体"/>
          <w:sz w:val="24"/>
          <w:szCs w:val="24"/>
          <w:lang w:val="en-US" w:eastAsia="zh-CN"/>
        </w:rPr>
        <w:t>47</w:t>
      </w:r>
      <w:r>
        <w:rPr>
          <w:rFonts w:hint="eastAsia" w:ascii="宋体" w:hAnsi="宋体" w:eastAsia="宋体"/>
          <w:sz w:val="24"/>
          <w:szCs w:val="24"/>
        </w:rPr>
        <w:t>家 ，上市公司年报审计收费共计</w:t>
      </w:r>
      <w:r>
        <w:rPr>
          <w:rFonts w:hAnsi="宋体"/>
          <w:sz w:val="24"/>
          <w:highlight w:val="none"/>
        </w:rPr>
        <w:t>71</w:t>
      </w:r>
      <w:r>
        <w:rPr>
          <w:rFonts w:hint="eastAsia" w:hAnsi="宋体"/>
          <w:sz w:val="24"/>
          <w:highlight w:val="none"/>
        </w:rPr>
        <w:t>71</w:t>
      </w:r>
      <w:r>
        <w:rPr>
          <w:rFonts w:hAnsi="宋体"/>
          <w:sz w:val="24"/>
          <w:highlight w:val="none"/>
        </w:rPr>
        <w:t>.</w:t>
      </w:r>
      <w:r>
        <w:rPr>
          <w:rFonts w:hint="eastAsia" w:hAnsi="宋体"/>
          <w:sz w:val="24"/>
          <w:highlight w:val="none"/>
        </w:rPr>
        <w:t>70</w:t>
      </w:r>
      <w:r>
        <w:rPr>
          <w:rFonts w:hint="eastAsia" w:ascii="宋体" w:hAnsi="宋体" w:eastAsia="宋体"/>
          <w:sz w:val="24"/>
          <w:szCs w:val="24"/>
        </w:rPr>
        <w:t>万元。涉及的主要行业包括制造业、农林牧渔业、批发和零售业、信息传输软件和信息技术服务业、电力热力燃气及水生产和供应业、建筑业、金融业、文化体育和娱乐业、卫生和社会工作业等。</w:t>
      </w:r>
    </w:p>
    <w:p w14:paraId="72CF30E1">
      <w:pPr>
        <w:spacing w:before="156" w:beforeLines="50" w:after="156" w:afterLines="50" w:line="360" w:lineRule="auto"/>
        <w:rPr>
          <w:rFonts w:hint="eastAsia" w:ascii="宋体" w:hAnsi="宋体" w:eastAsia="宋体"/>
          <w:b/>
          <w:bCs/>
          <w:sz w:val="24"/>
          <w:szCs w:val="24"/>
        </w:rPr>
      </w:pPr>
      <w:r>
        <w:rPr>
          <w:rFonts w:hint="eastAsia" w:ascii="宋体" w:hAnsi="宋体" w:eastAsia="宋体"/>
          <w:b/>
          <w:bCs/>
          <w:sz w:val="24"/>
          <w:szCs w:val="24"/>
        </w:rPr>
        <w:t>二、会计师事务所履职情况评估</w:t>
      </w:r>
    </w:p>
    <w:p w14:paraId="4240D88B">
      <w:pPr>
        <w:spacing w:before="156" w:beforeLines="50" w:after="156" w:afterLines="50" w:line="360" w:lineRule="auto"/>
        <w:rPr>
          <w:rFonts w:hint="eastAsia" w:ascii="宋体" w:hAnsi="宋体" w:eastAsia="宋体"/>
          <w:b/>
          <w:bCs/>
          <w:sz w:val="24"/>
          <w:szCs w:val="24"/>
        </w:rPr>
      </w:pPr>
      <w:r>
        <w:rPr>
          <w:rFonts w:hint="eastAsia" w:ascii="宋体" w:hAnsi="宋体" w:eastAsia="宋体"/>
          <w:b/>
          <w:bCs/>
          <w:sz w:val="24"/>
          <w:szCs w:val="24"/>
        </w:rPr>
        <w:t>1.业务咨询及意见分歧解决</w:t>
      </w:r>
    </w:p>
    <w:p w14:paraId="4CC03399">
      <w:pPr>
        <w:spacing w:before="156" w:beforeLines="50" w:after="156" w:afterLines="50" w:line="360" w:lineRule="auto"/>
        <w:ind w:firstLine="482"/>
        <w:rPr>
          <w:rFonts w:hint="eastAsia" w:ascii="宋体" w:hAnsi="宋体" w:eastAsia="宋体"/>
          <w:sz w:val="24"/>
          <w:szCs w:val="24"/>
        </w:rPr>
      </w:pPr>
      <w:r>
        <w:rPr>
          <w:rFonts w:hint="eastAsia" w:ascii="宋体" w:hAnsi="宋体" w:eastAsia="宋体"/>
          <w:sz w:val="24"/>
          <w:szCs w:val="24"/>
        </w:rPr>
        <w:t>和信运行完善的业务咨询和意见分歧解决机制，在执行审计业务的过程中，针对困难或有争议的事项进行咨询，并按照达成的一致意见执行。对于项目执行中出现的不同意见，一般通过讨论、沟通、咨询等方式来解决。对于重大意见分歧，和信实施明确的分歧解决程序，确保在意见分歧解决后才出具业务报告。</w:t>
      </w:r>
    </w:p>
    <w:p w14:paraId="04884C07">
      <w:pPr>
        <w:spacing w:before="156" w:beforeLines="50" w:after="156" w:afterLines="50" w:line="360" w:lineRule="auto"/>
        <w:rPr>
          <w:rFonts w:hint="eastAsia" w:ascii="宋体" w:hAnsi="宋体" w:eastAsia="宋体"/>
          <w:b/>
          <w:bCs/>
          <w:sz w:val="24"/>
          <w:szCs w:val="24"/>
        </w:rPr>
      </w:pPr>
      <w:r>
        <w:rPr>
          <w:rFonts w:hint="eastAsia" w:ascii="宋体" w:hAnsi="宋体" w:eastAsia="宋体"/>
          <w:b/>
          <w:bCs/>
          <w:sz w:val="24"/>
          <w:szCs w:val="24"/>
        </w:rPr>
        <w:t>2.项目组内部复核</w:t>
      </w:r>
    </w:p>
    <w:p w14:paraId="7BD95B0B">
      <w:pPr>
        <w:spacing w:before="156" w:beforeLines="50" w:after="156" w:afterLines="50" w:line="360" w:lineRule="auto"/>
        <w:ind w:firstLine="482"/>
        <w:rPr>
          <w:rFonts w:hint="eastAsia" w:ascii="宋体" w:hAnsi="宋体" w:eastAsia="宋体"/>
          <w:sz w:val="24"/>
          <w:szCs w:val="24"/>
        </w:rPr>
      </w:pPr>
      <w:r>
        <w:rPr>
          <w:rFonts w:hint="eastAsia" w:ascii="宋体" w:hAnsi="宋体" w:eastAsia="宋体"/>
          <w:sz w:val="24"/>
          <w:szCs w:val="24"/>
        </w:rPr>
        <w:t>和信针对本审计业务实施完善的项目组内部复核程序，包括项目经理复核、项目合伙人复核。项目经理的复核旨在确保项目组已充分、正确执行审计计划，完整记录执行的审计程序，并确认审计程序的执行结果符合执业准则的要求；项目合伙人的复核旨在整体上确保项目组已获取充分适当的审计证据支持审计结论和拟出具的审计报告。</w:t>
      </w:r>
    </w:p>
    <w:p w14:paraId="5C869F2B">
      <w:pPr>
        <w:spacing w:before="156" w:beforeLines="50" w:after="156" w:afterLines="50" w:line="360" w:lineRule="auto"/>
        <w:rPr>
          <w:rFonts w:hint="eastAsia" w:ascii="宋体" w:hAnsi="宋体" w:eastAsia="宋体"/>
          <w:b/>
          <w:bCs/>
          <w:sz w:val="24"/>
          <w:szCs w:val="24"/>
        </w:rPr>
      </w:pPr>
      <w:r>
        <w:rPr>
          <w:rFonts w:hint="eastAsia" w:ascii="宋体" w:hAnsi="宋体" w:eastAsia="宋体"/>
          <w:b/>
          <w:bCs/>
          <w:sz w:val="24"/>
          <w:szCs w:val="24"/>
        </w:rPr>
        <w:t>3.独立复核</w:t>
      </w:r>
    </w:p>
    <w:p w14:paraId="33951D4C">
      <w:pPr>
        <w:spacing w:before="156" w:beforeLines="50" w:after="156" w:afterLines="50" w:line="360" w:lineRule="auto"/>
        <w:ind w:firstLine="482"/>
        <w:rPr>
          <w:rFonts w:hint="eastAsia" w:ascii="宋体" w:hAnsi="宋体" w:eastAsia="宋体"/>
          <w:sz w:val="24"/>
          <w:szCs w:val="24"/>
        </w:rPr>
      </w:pPr>
      <w:r>
        <w:rPr>
          <w:rFonts w:hint="eastAsia" w:ascii="宋体" w:hAnsi="宋体" w:eastAsia="宋体"/>
          <w:sz w:val="24"/>
          <w:szCs w:val="24"/>
        </w:rPr>
        <w:t>和信针对本审计业务实施独立复核程序，安排项目组成员以外的具有足够、适当的经验和权限的合伙人实施独立复核，对项目组作出的重大判断和据此得出的结论作出客观评价。独立复核人及协助人员按和信质量管理要求实施独立复核程序，形成独立复核工作底稿。只有完成独立复核，项目合伙人才能签署审计报告。</w:t>
      </w:r>
    </w:p>
    <w:p w14:paraId="7A91BCEE">
      <w:pPr>
        <w:spacing w:before="156" w:beforeLines="50" w:after="156" w:afterLines="50" w:line="360" w:lineRule="auto"/>
        <w:rPr>
          <w:rFonts w:hint="eastAsia" w:ascii="宋体" w:hAnsi="宋体" w:eastAsia="宋体"/>
          <w:b/>
          <w:bCs/>
          <w:sz w:val="24"/>
          <w:szCs w:val="24"/>
        </w:rPr>
      </w:pPr>
      <w:r>
        <w:rPr>
          <w:rFonts w:hint="eastAsia" w:ascii="宋体" w:hAnsi="宋体" w:eastAsia="宋体"/>
          <w:b/>
          <w:bCs/>
          <w:sz w:val="24"/>
          <w:szCs w:val="24"/>
        </w:rPr>
        <w:t>4.质量管理体系的监控和整改</w:t>
      </w:r>
    </w:p>
    <w:p w14:paraId="4409EBE0">
      <w:pPr>
        <w:spacing w:before="156" w:beforeLines="50" w:after="156" w:afterLines="50" w:line="360" w:lineRule="auto"/>
        <w:ind w:firstLine="482"/>
        <w:rPr>
          <w:rFonts w:hint="eastAsia" w:ascii="宋体" w:hAnsi="宋体" w:eastAsia="宋体"/>
          <w:sz w:val="24"/>
          <w:szCs w:val="24"/>
        </w:rPr>
      </w:pPr>
      <w:r>
        <w:rPr>
          <w:rFonts w:hint="eastAsia" w:ascii="宋体" w:hAnsi="宋体" w:eastAsia="宋体"/>
          <w:sz w:val="24"/>
          <w:szCs w:val="24"/>
        </w:rPr>
        <w:t>和信按照质量管理准则要求开展的监控活动包括日常监控和定期监控。日常监控已经嵌入到和信的内部程序中，针对具体情况的变化而随时实施。定期监控主要包括项目质量检查，每隔一段时间就定期实施。在执行公司 202</w:t>
      </w:r>
      <w:r>
        <w:rPr>
          <w:rFonts w:hint="eastAsia" w:ascii="宋体" w:hAnsi="宋体" w:eastAsia="宋体"/>
          <w:sz w:val="24"/>
          <w:szCs w:val="24"/>
          <w:lang w:val="en-US" w:eastAsia="zh-CN"/>
        </w:rPr>
        <w:t>5</w:t>
      </w:r>
      <w:r>
        <w:rPr>
          <w:rFonts w:hint="eastAsia" w:ascii="宋体" w:hAnsi="宋体" w:eastAsia="宋体"/>
          <w:sz w:val="24"/>
          <w:szCs w:val="24"/>
        </w:rPr>
        <w:t xml:space="preserve"> 年报审计的过程中，和信各项质量管理措施均得到了有效执行。</w:t>
      </w:r>
    </w:p>
    <w:p w14:paraId="4BAABC21">
      <w:pPr>
        <w:spacing w:before="156" w:beforeLines="50" w:after="156" w:afterLines="50" w:line="360" w:lineRule="auto"/>
        <w:rPr>
          <w:rFonts w:hint="eastAsia" w:ascii="宋体" w:hAnsi="宋体" w:eastAsia="宋体"/>
          <w:b/>
          <w:bCs/>
          <w:sz w:val="24"/>
          <w:szCs w:val="24"/>
        </w:rPr>
      </w:pPr>
      <w:r>
        <w:rPr>
          <w:rFonts w:hint="eastAsia" w:ascii="宋体" w:hAnsi="宋体" w:eastAsia="宋体"/>
          <w:b/>
          <w:bCs/>
          <w:sz w:val="24"/>
          <w:szCs w:val="24"/>
        </w:rPr>
        <w:t>三、工作方案</w:t>
      </w:r>
    </w:p>
    <w:p w14:paraId="700009F7">
      <w:pPr>
        <w:spacing w:before="156" w:beforeLines="50" w:after="156" w:afterLines="50" w:line="360" w:lineRule="auto"/>
        <w:ind w:firstLine="482"/>
        <w:rPr>
          <w:rFonts w:hint="eastAsia" w:ascii="宋体" w:hAnsi="宋体" w:eastAsia="宋体"/>
          <w:b/>
          <w:bCs/>
          <w:sz w:val="24"/>
          <w:szCs w:val="24"/>
        </w:rPr>
      </w:pPr>
      <w:r>
        <w:rPr>
          <w:rFonts w:hint="eastAsia" w:ascii="宋体" w:hAnsi="宋体" w:eastAsia="宋体"/>
          <w:sz w:val="24"/>
          <w:szCs w:val="24"/>
        </w:rPr>
        <w:t>202</w:t>
      </w:r>
      <w:r>
        <w:rPr>
          <w:rFonts w:hint="eastAsia" w:ascii="宋体" w:hAnsi="宋体" w:eastAsia="宋体"/>
          <w:sz w:val="24"/>
          <w:szCs w:val="24"/>
          <w:lang w:val="en-US" w:eastAsia="zh-CN"/>
        </w:rPr>
        <w:t>5</w:t>
      </w:r>
      <w:r>
        <w:rPr>
          <w:rFonts w:hint="eastAsia" w:ascii="宋体" w:hAnsi="宋体" w:eastAsia="宋体"/>
          <w:sz w:val="24"/>
          <w:szCs w:val="24"/>
        </w:rPr>
        <w:t>年度审计过程中，和信针对公司的服务需求及被审计单位的实际情况，制定了全面、合理、可操作性强的审计工作方案。审计工作围绕被审计单位的审计重点展开，其中包括收入确认、成本核算、资产减值、递延所得税确认、合并报表、关联方交易等。和信全面配合公司审计工作，充分满足了上市公司报告披露时间要求。和信就预审、终审等阶段制定了详细的审计计划与时间安排，并且能够根据计划安排按时提交各项工作。</w:t>
      </w:r>
      <w:r>
        <w:rPr>
          <w:rFonts w:ascii="宋体" w:hAnsi="宋体" w:eastAsia="宋体"/>
          <w:sz w:val="24"/>
          <w:szCs w:val="24"/>
        </w:rPr>
        <w:cr/>
      </w:r>
      <w:r>
        <w:rPr>
          <w:rFonts w:hint="eastAsia" w:ascii="宋体" w:hAnsi="宋体" w:eastAsia="宋体"/>
          <w:sz w:val="24"/>
          <w:szCs w:val="24"/>
        </w:rPr>
        <w:t xml:space="preserve"> </w:t>
      </w:r>
      <w:r>
        <w:rPr>
          <w:rFonts w:hint="eastAsia" w:ascii="宋体" w:hAnsi="宋体" w:eastAsia="宋体"/>
          <w:b/>
          <w:bCs/>
          <w:sz w:val="24"/>
          <w:szCs w:val="24"/>
        </w:rPr>
        <w:t>四、人力及其他资源配备</w:t>
      </w:r>
    </w:p>
    <w:p w14:paraId="4C8B299D">
      <w:pPr>
        <w:spacing w:before="156" w:beforeLines="50" w:after="156" w:afterLines="50" w:line="360" w:lineRule="auto"/>
        <w:ind w:firstLine="482"/>
        <w:rPr>
          <w:rFonts w:hint="eastAsia" w:ascii="宋体" w:hAnsi="宋体" w:eastAsia="宋体"/>
          <w:sz w:val="24"/>
          <w:szCs w:val="24"/>
        </w:rPr>
      </w:pPr>
      <w:r>
        <w:rPr>
          <w:rFonts w:hint="eastAsia" w:ascii="宋体" w:hAnsi="宋体" w:eastAsia="宋体"/>
          <w:sz w:val="24"/>
          <w:szCs w:val="24"/>
        </w:rPr>
        <w:t>和信项目组由项目合伙人、项目经理和其他审计人员组成。项目实行项目合伙人负责制，项目合伙人综合考虑专业人员的专业知识、技术专长和实务经验及其对本公司所处的相关行业的了解程度等因素后，委派具有必要素质、专业胜任能力和时间的项目经理和其他项目组成员，其中核心项目审计成员均具备多年上市公司审计经验，并拥有中国注册会计师专业资质。</w:t>
      </w:r>
    </w:p>
    <w:p w14:paraId="11C840A2">
      <w:pPr>
        <w:spacing w:before="156" w:beforeLines="50" w:after="156" w:afterLines="50" w:line="360" w:lineRule="auto"/>
        <w:ind w:firstLine="482"/>
        <w:rPr>
          <w:rFonts w:hint="eastAsia" w:ascii="宋体" w:hAnsi="宋体" w:eastAsia="宋体"/>
          <w:sz w:val="24"/>
          <w:szCs w:val="24"/>
        </w:rPr>
      </w:pPr>
      <w:r>
        <w:rPr>
          <w:rFonts w:hint="eastAsia" w:ascii="宋体" w:hAnsi="宋体" w:eastAsia="宋体"/>
          <w:sz w:val="24"/>
          <w:szCs w:val="24"/>
        </w:rPr>
        <w:t>和信配备经验丰富的技术专家团队，审计项目组根据实际需要引入和信税务专家、估值专家、信息系统专家成员等参与工作。</w:t>
      </w:r>
    </w:p>
    <w:p w14:paraId="4A643D19">
      <w:pPr>
        <w:spacing w:before="156" w:beforeLines="50" w:after="156" w:afterLines="50" w:line="360" w:lineRule="auto"/>
        <w:rPr>
          <w:rFonts w:hint="eastAsia" w:ascii="宋体" w:hAnsi="宋体" w:eastAsia="宋体"/>
          <w:b/>
          <w:bCs/>
          <w:sz w:val="24"/>
          <w:szCs w:val="24"/>
        </w:rPr>
      </w:pPr>
      <w:r>
        <w:rPr>
          <w:rFonts w:hint="eastAsia" w:ascii="宋体" w:hAnsi="宋体" w:eastAsia="宋体"/>
          <w:b/>
          <w:bCs/>
          <w:sz w:val="24"/>
          <w:szCs w:val="24"/>
        </w:rPr>
        <w:t>五、信息安全管理</w:t>
      </w:r>
    </w:p>
    <w:p w14:paraId="0288D568">
      <w:pPr>
        <w:spacing w:before="156" w:beforeLines="50" w:after="156" w:afterLines="50" w:line="360" w:lineRule="auto"/>
        <w:ind w:firstLine="482"/>
        <w:rPr>
          <w:rFonts w:hint="eastAsia" w:ascii="宋体" w:hAnsi="宋体" w:eastAsia="宋体"/>
          <w:sz w:val="24"/>
          <w:szCs w:val="24"/>
        </w:rPr>
      </w:pPr>
      <w:r>
        <w:rPr>
          <w:rFonts w:hint="eastAsia" w:ascii="宋体" w:hAnsi="宋体" w:eastAsia="宋体"/>
          <w:sz w:val="24"/>
          <w:szCs w:val="24"/>
        </w:rPr>
        <w:t>公司在聘任合同中明确约定了和信在信息安全管理中的责任义务。和信通过建立保密制度、档案管理等一系列有效的内部制度来确保全体员工对客户信息保密，这些制度措施包括遵守事务所操守准则、开展培训，并要求所有专业服务人员进行年度确认。在制定审计方案和实施审计工作的过程中，也考虑了对敏感信息、保密信息的检查、处理、脱敏和归档管理，并能够有效执行。</w:t>
      </w:r>
    </w:p>
    <w:p w14:paraId="566FAAC8">
      <w:pPr>
        <w:spacing w:before="156" w:beforeLines="50" w:after="156" w:afterLines="50" w:line="360" w:lineRule="auto"/>
        <w:rPr>
          <w:rFonts w:hint="eastAsia" w:ascii="宋体" w:hAnsi="宋体" w:eastAsia="宋体"/>
          <w:b/>
          <w:bCs/>
          <w:sz w:val="24"/>
          <w:szCs w:val="24"/>
        </w:rPr>
      </w:pPr>
      <w:r>
        <w:rPr>
          <w:rFonts w:hint="eastAsia" w:ascii="宋体" w:hAnsi="宋体" w:eastAsia="宋体"/>
          <w:b/>
          <w:bCs/>
          <w:sz w:val="24"/>
          <w:szCs w:val="24"/>
        </w:rPr>
        <w:t>六、风险承担能力水平</w:t>
      </w:r>
    </w:p>
    <w:p w14:paraId="1DC079D1">
      <w:pPr>
        <w:spacing w:before="156" w:beforeLines="50" w:after="156" w:afterLines="50" w:line="360" w:lineRule="auto"/>
        <w:ind w:firstLine="482"/>
        <w:rPr>
          <w:rFonts w:hint="eastAsia" w:ascii="宋体" w:hAnsi="宋体" w:eastAsia="宋体"/>
          <w:sz w:val="24"/>
          <w:szCs w:val="24"/>
        </w:rPr>
      </w:pPr>
      <w:r>
        <w:rPr>
          <w:rFonts w:hint="eastAsia" w:ascii="宋体" w:hAnsi="宋体" w:eastAsia="宋体"/>
          <w:sz w:val="24"/>
          <w:szCs w:val="24"/>
        </w:rPr>
        <w:t>截止202</w:t>
      </w:r>
      <w:r>
        <w:rPr>
          <w:rFonts w:hint="eastAsia" w:ascii="宋体" w:hAnsi="宋体" w:eastAsia="宋体"/>
          <w:sz w:val="24"/>
          <w:szCs w:val="24"/>
          <w:lang w:val="en-US" w:eastAsia="zh-CN"/>
        </w:rPr>
        <w:t>5</w:t>
      </w:r>
      <w:r>
        <w:rPr>
          <w:rFonts w:hint="eastAsia" w:ascii="宋体" w:hAnsi="宋体" w:eastAsia="宋体"/>
          <w:sz w:val="24"/>
          <w:szCs w:val="24"/>
        </w:rPr>
        <w:t>年末，和信已购买的职业责任保险累计赔偿限额为10000万元，职业保险购买符合相关规定，近三年无因执业行为在相关民事诉讼中承担民事责任的情况。</w:t>
      </w:r>
    </w:p>
    <w:p w14:paraId="599517F7">
      <w:pPr>
        <w:spacing w:line="360" w:lineRule="auto"/>
        <w:rPr>
          <w:rFonts w:hint="eastAsia" w:ascii="宋体" w:hAnsi="宋体" w:eastAsia="宋体"/>
          <w:b/>
          <w:bCs/>
          <w:sz w:val="24"/>
          <w:szCs w:val="24"/>
        </w:rPr>
      </w:pPr>
      <w:r>
        <w:rPr>
          <w:rFonts w:hint="eastAsia" w:ascii="宋体" w:hAnsi="宋体" w:eastAsia="宋体"/>
          <w:b/>
          <w:bCs/>
          <w:sz w:val="24"/>
          <w:szCs w:val="24"/>
        </w:rPr>
        <w:t>七、</w:t>
      </w:r>
      <w:r>
        <w:rPr>
          <w:rFonts w:ascii="宋体" w:hAnsi="宋体" w:eastAsia="宋体"/>
          <w:b/>
          <w:bCs/>
          <w:sz w:val="24"/>
          <w:szCs w:val="24"/>
        </w:rPr>
        <w:t>聘任会计师履行的程序</w:t>
      </w:r>
    </w:p>
    <w:p w14:paraId="70F7F04B">
      <w:pPr>
        <w:spacing w:line="360" w:lineRule="auto"/>
        <w:ind w:firstLine="480" w:firstLineChars="200"/>
        <w:rPr>
          <w:rFonts w:hint="eastAsia" w:ascii="宋体" w:hAnsi="宋体" w:eastAsia="宋体"/>
          <w:sz w:val="24"/>
          <w:szCs w:val="24"/>
        </w:rPr>
      </w:pPr>
      <w:r>
        <w:rPr>
          <w:rFonts w:hint="eastAsia" w:ascii="宋体" w:hAnsi="宋体" w:eastAsia="宋体"/>
          <w:sz w:val="24"/>
          <w:szCs w:val="24"/>
          <w:highlight w:val="none"/>
        </w:rPr>
        <w:t>经公司第十一届董事会第</w:t>
      </w:r>
      <w:r>
        <w:rPr>
          <w:rFonts w:hint="eastAsia" w:ascii="宋体" w:hAnsi="宋体" w:eastAsia="宋体"/>
          <w:sz w:val="24"/>
          <w:szCs w:val="24"/>
          <w:highlight w:val="none"/>
          <w:lang w:val="en-US" w:eastAsia="zh-CN"/>
        </w:rPr>
        <w:t>九</w:t>
      </w:r>
      <w:r>
        <w:rPr>
          <w:rFonts w:hint="eastAsia" w:ascii="宋体" w:hAnsi="宋体" w:eastAsia="宋体"/>
          <w:sz w:val="24"/>
          <w:szCs w:val="24"/>
          <w:highlight w:val="none"/>
        </w:rPr>
        <w:t>次会议及</w:t>
      </w:r>
      <w:r>
        <w:rPr>
          <w:rFonts w:ascii="宋体" w:hAnsi="宋体" w:eastAsia="宋体"/>
          <w:sz w:val="24"/>
          <w:szCs w:val="24"/>
          <w:highlight w:val="none"/>
        </w:rPr>
        <w:t>202</w:t>
      </w:r>
      <w:r>
        <w:rPr>
          <w:rFonts w:hint="eastAsia" w:ascii="宋体" w:hAnsi="宋体" w:eastAsia="宋体"/>
          <w:sz w:val="24"/>
          <w:szCs w:val="24"/>
          <w:highlight w:val="none"/>
          <w:lang w:val="en-US" w:eastAsia="zh-CN"/>
        </w:rPr>
        <w:t>4</w:t>
      </w:r>
      <w:r>
        <w:rPr>
          <w:rFonts w:ascii="宋体" w:hAnsi="宋体" w:eastAsia="宋体"/>
          <w:sz w:val="24"/>
          <w:szCs w:val="24"/>
          <w:highlight w:val="none"/>
        </w:rPr>
        <w:t>年年度</w:t>
      </w:r>
      <w:r>
        <w:rPr>
          <w:rFonts w:hint="eastAsia" w:ascii="宋体" w:hAnsi="宋体" w:eastAsia="宋体"/>
          <w:sz w:val="24"/>
          <w:szCs w:val="24"/>
          <w:highlight w:val="none"/>
          <w:lang w:eastAsia="zh-CN"/>
        </w:rPr>
        <w:t>股东会</w:t>
      </w:r>
      <w:r>
        <w:rPr>
          <w:rFonts w:ascii="宋体" w:hAnsi="宋体" w:eastAsia="宋体"/>
          <w:sz w:val="24"/>
          <w:szCs w:val="24"/>
          <w:highlight w:val="none"/>
        </w:rPr>
        <w:t>审</w:t>
      </w:r>
      <w:r>
        <w:rPr>
          <w:rFonts w:hint="eastAsia" w:ascii="宋体" w:hAnsi="宋体" w:eastAsia="宋体"/>
          <w:sz w:val="24"/>
          <w:szCs w:val="24"/>
          <w:highlight w:val="none"/>
        </w:rPr>
        <w:t>议通过，同意公司聘任和信会计师事务所作为公司</w:t>
      </w:r>
      <w:r>
        <w:rPr>
          <w:rFonts w:ascii="宋体" w:hAnsi="宋体" w:eastAsia="宋体"/>
          <w:sz w:val="24"/>
          <w:szCs w:val="24"/>
          <w:highlight w:val="none"/>
        </w:rPr>
        <w:t>202</w:t>
      </w:r>
      <w:r>
        <w:rPr>
          <w:rFonts w:hint="eastAsia" w:ascii="宋体" w:hAnsi="宋体" w:eastAsia="宋体"/>
          <w:sz w:val="24"/>
          <w:szCs w:val="24"/>
          <w:highlight w:val="none"/>
          <w:lang w:val="en-US" w:eastAsia="zh-CN"/>
        </w:rPr>
        <w:t>5</w:t>
      </w:r>
      <w:r>
        <w:rPr>
          <w:rFonts w:ascii="宋体" w:hAnsi="宋体" w:eastAsia="宋体"/>
          <w:sz w:val="24"/>
          <w:szCs w:val="24"/>
          <w:highlight w:val="none"/>
        </w:rPr>
        <w:t>年度审计机</w:t>
      </w:r>
      <w:r>
        <w:rPr>
          <w:rFonts w:hint="eastAsia" w:ascii="宋体" w:hAnsi="宋体" w:eastAsia="宋体"/>
          <w:sz w:val="24"/>
          <w:szCs w:val="24"/>
          <w:highlight w:val="none"/>
        </w:rPr>
        <w:t>构。公</w:t>
      </w:r>
      <w:r>
        <w:rPr>
          <w:rFonts w:hint="eastAsia" w:ascii="宋体" w:hAnsi="宋体" w:eastAsia="宋体"/>
          <w:sz w:val="24"/>
          <w:szCs w:val="24"/>
        </w:rPr>
        <w:t>司独立董事对该事项发表了事前审核意见及独立意见，董事会审计委员会也发表了书面审核意见。</w:t>
      </w:r>
    </w:p>
    <w:p w14:paraId="0DD4ABFE">
      <w:pPr>
        <w:spacing w:line="360" w:lineRule="auto"/>
        <w:rPr>
          <w:rFonts w:hint="eastAsia" w:ascii="宋体" w:hAnsi="宋体" w:eastAsia="宋体"/>
          <w:b/>
          <w:bCs/>
          <w:sz w:val="24"/>
          <w:szCs w:val="24"/>
        </w:rPr>
      </w:pPr>
      <w:r>
        <w:rPr>
          <w:rFonts w:hint="eastAsia" w:ascii="宋体" w:hAnsi="宋体" w:eastAsia="宋体"/>
          <w:b/>
          <w:bCs/>
          <w:sz w:val="24"/>
          <w:szCs w:val="24"/>
        </w:rPr>
        <w:t>八、公司对和信会计师事务所履职的评估情况</w:t>
      </w:r>
    </w:p>
    <w:p w14:paraId="7E3BA689">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经公司评估和审查后，认为和信具有独立的法人资格，具有从事证券、期货相关业务审计资格，能够满足审计工作的要求。其近一年在执业过程中坚持独立审计原则，客观、公正、公允地反映公司财务状况、经营成果，切实履行了审计机构应尽的职责，且专业能力、投资者保护能力及独立性足以胜任，工作中亦不存在损害公司整体利益及中小股东权益的行为，审计行为规范有序，出具的审计报告客观、完整、清晰、及时。</w:t>
      </w:r>
    </w:p>
    <w:p w14:paraId="00862E10">
      <w:pPr>
        <w:spacing w:line="360" w:lineRule="auto"/>
        <w:rPr>
          <w:rFonts w:hint="eastAsia" w:ascii="宋体" w:hAnsi="宋体" w:eastAsia="宋体"/>
          <w:sz w:val="24"/>
          <w:szCs w:val="24"/>
        </w:rPr>
      </w:pPr>
    </w:p>
    <w:p w14:paraId="75D6FB5E">
      <w:pPr>
        <w:spacing w:line="360" w:lineRule="auto"/>
        <w:rPr>
          <w:rFonts w:hint="eastAsia" w:ascii="宋体" w:hAnsi="宋体" w:eastAsia="宋体"/>
          <w:sz w:val="24"/>
          <w:szCs w:val="24"/>
        </w:rPr>
      </w:pPr>
    </w:p>
    <w:p w14:paraId="79A8D260">
      <w:pPr>
        <w:spacing w:line="360" w:lineRule="auto"/>
        <w:rPr>
          <w:rFonts w:hint="eastAsia" w:ascii="宋体" w:hAnsi="宋体" w:eastAsia="宋体"/>
          <w:sz w:val="24"/>
          <w:szCs w:val="24"/>
        </w:rPr>
      </w:pPr>
    </w:p>
    <w:p w14:paraId="5170E22F">
      <w:pPr>
        <w:spacing w:line="360" w:lineRule="auto"/>
        <w:jc w:val="right"/>
        <w:rPr>
          <w:rFonts w:hint="eastAsia" w:ascii="宋体" w:hAnsi="宋体" w:eastAsia="宋体"/>
          <w:sz w:val="24"/>
          <w:szCs w:val="24"/>
        </w:rPr>
      </w:pPr>
      <w:r>
        <w:rPr>
          <w:rFonts w:hint="eastAsia" w:ascii="宋体" w:hAnsi="宋体" w:eastAsia="宋体"/>
          <w:sz w:val="24"/>
          <w:szCs w:val="24"/>
        </w:rPr>
        <w:t>山东好当家海洋发展股份有限公司</w:t>
      </w:r>
    </w:p>
    <w:p w14:paraId="57AC6C4D">
      <w:pPr>
        <w:spacing w:line="360" w:lineRule="auto"/>
        <w:jc w:val="right"/>
        <w:rPr>
          <w:rFonts w:hint="eastAsia" w:ascii="宋体" w:hAnsi="宋体" w:eastAsia="宋体"/>
          <w:sz w:val="24"/>
          <w:szCs w:val="24"/>
        </w:rPr>
      </w:pPr>
      <w:r>
        <w:rPr>
          <w:rFonts w:hint="eastAsia" w:ascii="宋体" w:hAnsi="宋体" w:eastAsia="宋体"/>
          <w:sz w:val="24"/>
          <w:szCs w:val="24"/>
        </w:rPr>
        <w:t>董事会</w:t>
      </w:r>
    </w:p>
    <w:p w14:paraId="3CFA0FF3">
      <w:pPr>
        <w:spacing w:line="360" w:lineRule="auto"/>
        <w:jc w:val="right"/>
        <w:rPr>
          <w:rFonts w:hint="eastAsia" w:ascii="宋体" w:hAnsi="宋体" w:eastAsia="宋体"/>
          <w:sz w:val="24"/>
          <w:szCs w:val="24"/>
        </w:rPr>
      </w:pPr>
      <w:r>
        <w:rPr>
          <w:rFonts w:ascii="宋体" w:hAnsi="宋体" w:eastAsia="宋体"/>
          <w:sz w:val="24"/>
          <w:szCs w:val="24"/>
        </w:rPr>
        <w:t>202</w:t>
      </w:r>
      <w:r>
        <w:rPr>
          <w:rFonts w:hint="eastAsia" w:ascii="宋体" w:hAnsi="宋体" w:eastAsia="宋体"/>
          <w:sz w:val="24"/>
          <w:szCs w:val="24"/>
          <w:lang w:val="en-US" w:eastAsia="zh-CN"/>
        </w:rPr>
        <w:t>6</w:t>
      </w:r>
      <w:r>
        <w:rPr>
          <w:rFonts w:ascii="宋体" w:hAnsi="宋体" w:eastAsia="宋体"/>
          <w:sz w:val="24"/>
          <w:szCs w:val="24"/>
        </w:rPr>
        <w:t xml:space="preserve">年 </w:t>
      </w:r>
      <w:r>
        <w:rPr>
          <w:rFonts w:hint="eastAsia" w:ascii="宋体" w:hAnsi="宋体" w:eastAsia="宋体"/>
          <w:sz w:val="24"/>
          <w:szCs w:val="24"/>
        </w:rPr>
        <w:t>4</w:t>
      </w:r>
      <w:r>
        <w:rPr>
          <w:rFonts w:ascii="宋体" w:hAnsi="宋体" w:eastAsia="宋体"/>
          <w:sz w:val="24"/>
          <w:szCs w:val="24"/>
        </w:rPr>
        <w:t xml:space="preserve"> 月 2</w:t>
      </w:r>
      <w:r>
        <w:rPr>
          <w:rFonts w:hint="eastAsia" w:ascii="宋体" w:hAnsi="宋体" w:eastAsia="宋体"/>
          <w:sz w:val="24"/>
          <w:szCs w:val="24"/>
          <w:lang w:val="en-US" w:eastAsia="zh-CN"/>
        </w:rPr>
        <w:t>2</w:t>
      </w:r>
      <w:r>
        <w:rPr>
          <w:rFonts w:ascii="宋体" w:hAnsi="宋体" w:eastAsia="宋体"/>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C955E6"/>
    <w:rsid w:val="000014BD"/>
    <w:rsid w:val="000100EA"/>
    <w:rsid w:val="00015422"/>
    <w:rsid w:val="00016035"/>
    <w:rsid w:val="00017FA6"/>
    <w:rsid w:val="00041DA2"/>
    <w:rsid w:val="00044BB1"/>
    <w:rsid w:val="000560FC"/>
    <w:rsid w:val="00056DD3"/>
    <w:rsid w:val="00057612"/>
    <w:rsid w:val="00067F64"/>
    <w:rsid w:val="000749CE"/>
    <w:rsid w:val="00075564"/>
    <w:rsid w:val="00075AB1"/>
    <w:rsid w:val="000805E9"/>
    <w:rsid w:val="00085FA8"/>
    <w:rsid w:val="0008679C"/>
    <w:rsid w:val="00097120"/>
    <w:rsid w:val="00097AA1"/>
    <w:rsid w:val="000A289D"/>
    <w:rsid w:val="000A2FF5"/>
    <w:rsid w:val="000A3DC8"/>
    <w:rsid w:val="000A7ACD"/>
    <w:rsid w:val="000B007A"/>
    <w:rsid w:val="000B69A7"/>
    <w:rsid w:val="000B70BB"/>
    <w:rsid w:val="000B7BCB"/>
    <w:rsid w:val="000C4006"/>
    <w:rsid w:val="000C4284"/>
    <w:rsid w:val="000C502D"/>
    <w:rsid w:val="000C532A"/>
    <w:rsid w:val="000C538D"/>
    <w:rsid w:val="000D28CA"/>
    <w:rsid w:val="000D2C48"/>
    <w:rsid w:val="000D51C3"/>
    <w:rsid w:val="000D593D"/>
    <w:rsid w:val="000D77F5"/>
    <w:rsid w:val="000E0BB5"/>
    <w:rsid w:val="000E602D"/>
    <w:rsid w:val="000E6377"/>
    <w:rsid w:val="000F38B7"/>
    <w:rsid w:val="000F6CE2"/>
    <w:rsid w:val="00100098"/>
    <w:rsid w:val="00100145"/>
    <w:rsid w:val="00122A58"/>
    <w:rsid w:val="001239F0"/>
    <w:rsid w:val="00127059"/>
    <w:rsid w:val="00131AC0"/>
    <w:rsid w:val="00136525"/>
    <w:rsid w:val="00137A64"/>
    <w:rsid w:val="0014136D"/>
    <w:rsid w:val="0014401C"/>
    <w:rsid w:val="00172A19"/>
    <w:rsid w:val="00183243"/>
    <w:rsid w:val="00185A99"/>
    <w:rsid w:val="00194AC5"/>
    <w:rsid w:val="001B0B96"/>
    <w:rsid w:val="001B6A02"/>
    <w:rsid w:val="001D1A55"/>
    <w:rsid w:val="001D31E9"/>
    <w:rsid w:val="001D3F8A"/>
    <w:rsid w:val="001E2268"/>
    <w:rsid w:val="001E7714"/>
    <w:rsid w:val="001F0C19"/>
    <w:rsid w:val="001F2465"/>
    <w:rsid w:val="00207EEB"/>
    <w:rsid w:val="0021467A"/>
    <w:rsid w:val="00226352"/>
    <w:rsid w:val="00233104"/>
    <w:rsid w:val="00250254"/>
    <w:rsid w:val="00255DC3"/>
    <w:rsid w:val="0025793A"/>
    <w:rsid w:val="00261B0A"/>
    <w:rsid w:val="00264171"/>
    <w:rsid w:val="00276D23"/>
    <w:rsid w:val="00283F7F"/>
    <w:rsid w:val="0028773B"/>
    <w:rsid w:val="002905B5"/>
    <w:rsid w:val="0029286D"/>
    <w:rsid w:val="00292F7F"/>
    <w:rsid w:val="00293C4B"/>
    <w:rsid w:val="00297931"/>
    <w:rsid w:val="002A3289"/>
    <w:rsid w:val="002B0899"/>
    <w:rsid w:val="002B7295"/>
    <w:rsid w:val="002C0EBA"/>
    <w:rsid w:val="002C6D8D"/>
    <w:rsid w:val="002E205F"/>
    <w:rsid w:val="002E78C0"/>
    <w:rsid w:val="002F0463"/>
    <w:rsid w:val="002F0D06"/>
    <w:rsid w:val="002F4D7B"/>
    <w:rsid w:val="003023CC"/>
    <w:rsid w:val="00304703"/>
    <w:rsid w:val="003071CD"/>
    <w:rsid w:val="0031076C"/>
    <w:rsid w:val="00311117"/>
    <w:rsid w:val="003164A9"/>
    <w:rsid w:val="003202F1"/>
    <w:rsid w:val="003246AB"/>
    <w:rsid w:val="0032782E"/>
    <w:rsid w:val="0032798A"/>
    <w:rsid w:val="003302E5"/>
    <w:rsid w:val="003405D0"/>
    <w:rsid w:val="00344A16"/>
    <w:rsid w:val="00347829"/>
    <w:rsid w:val="0035026F"/>
    <w:rsid w:val="00352632"/>
    <w:rsid w:val="00367838"/>
    <w:rsid w:val="00367D08"/>
    <w:rsid w:val="00371BCB"/>
    <w:rsid w:val="00375D70"/>
    <w:rsid w:val="00390AEB"/>
    <w:rsid w:val="0039104F"/>
    <w:rsid w:val="00396557"/>
    <w:rsid w:val="00396657"/>
    <w:rsid w:val="003A7A70"/>
    <w:rsid w:val="003B0F5A"/>
    <w:rsid w:val="003B2775"/>
    <w:rsid w:val="003B6700"/>
    <w:rsid w:val="003C1DAF"/>
    <w:rsid w:val="003D35BF"/>
    <w:rsid w:val="003D3934"/>
    <w:rsid w:val="003D42F0"/>
    <w:rsid w:val="003E214C"/>
    <w:rsid w:val="003E74B5"/>
    <w:rsid w:val="003E7ADC"/>
    <w:rsid w:val="003F7136"/>
    <w:rsid w:val="004038C9"/>
    <w:rsid w:val="004048BD"/>
    <w:rsid w:val="00406EC6"/>
    <w:rsid w:val="00407F6F"/>
    <w:rsid w:val="00412CF9"/>
    <w:rsid w:val="0042710E"/>
    <w:rsid w:val="004272B9"/>
    <w:rsid w:val="0043257B"/>
    <w:rsid w:val="0043440A"/>
    <w:rsid w:val="00453828"/>
    <w:rsid w:val="00455506"/>
    <w:rsid w:val="004565A0"/>
    <w:rsid w:val="00463589"/>
    <w:rsid w:val="00464AA5"/>
    <w:rsid w:val="00475598"/>
    <w:rsid w:val="00480A24"/>
    <w:rsid w:val="00484BFE"/>
    <w:rsid w:val="00486A3B"/>
    <w:rsid w:val="00492133"/>
    <w:rsid w:val="00493051"/>
    <w:rsid w:val="00495C97"/>
    <w:rsid w:val="004A47B2"/>
    <w:rsid w:val="004A554D"/>
    <w:rsid w:val="004B071B"/>
    <w:rsid w:val="004B367A"/>
    <w:rsid w:val="004B65C5"/>
    <w:rsid w:val="004C06B3"/>
    <w:rsid w:val="004D2610"/>
    <w:rsid w:val="004D5E43"/>
    <w:rsid w:val="004E34D1"/>
    <w:rsid w:val="004E57A6"/>
    <w:rsid w:val="004E6001"/>
    <w:rsid w:val="00500790"/>
    <w:rsid w:val="00505568"/>
    <w:rsid w:val="00511165"/>
    <w:rsid w:val="005236D1"/>
    <w:rsid w:val="00530CD5"/>
    <w:rsid w:val="00534D90"/>
    <w:rsid w:val="00565ADF"/>
    <w:rsid w:val="00570525"/>
    <w:rsid w:val="00570AD8"/>
    <w:rsid w:val="00570DAD"/>
    <w:rsid w:val="005A54D8"/>
    <w:rsid w:val="005B1788"/>
    <w:rsid w:val="005B51BF"/>
    <w:rsid w:val="005B62B9"/>
    <w:rsid w:val="005D0407"/>
    <w:rsid w:val="005D2F1E"/>
    <w:rsid w:val="005D796A"/>
    <w:rsid w:val="005E21A0"/>
    <w:rsid w:val="005E34E4"/>
    <w:rsid w:val="005E4280"/>
    <w:rsid w:val="005F69FB"/>
    <w:rsid w:val="0060690E"/>
    <w:rsid w:val="00607868"/>
    <w:rsid w:val="006176A5"/>
    <w:rsid w:val="00620984"/>
    <w:rsid w:val="00622A71"/>
    <w:rsid w:val="00622D33"/>
    <w:rsid w:val="00624626"/>
    <w:rsid w:val="006343E4"/>
    <w:rsid w:val="00644771"/>
    <w:rsid w:val="006454B9"/>
    <w:rsid w:val="0065021C"/>
    <w:rsid w:val="00651C1E"/>
    <w:rsid w:val="00652574"/>
    <w:rsid w:val="00653294"/>
    <w:rsid w:val="0066640A"/>
    <w:rsid w:val="0068476D"/>
    <w:rsid w:val="00685268"/>
    <w:rsid w:val="0068693B"/>
    <w:rsid w:val="00690173"/>
    <w:rsid w:val="006A29FF"/>
    <w:rsid w:val="006A4213"/>
    <w:rsid w:val="006A612F"/>
    <w:rsid w:val="006A62BE"/>
    <w:rsid w:val="006A6F47"/>
    <w:rsid w:val="006B4DC6"/>
    <w:rsid w:val="006C0001"/>
    <w:rsid w:val="006C2053"/>
    <w:rsid w:val="006E105C"/>
    <w:rsid w:val="006E148C"/>
    <w:rsid w:val="006E43B9"/>
    <w:rsid w:val="006E62E3"/>
    <w:rsid w:val="006F1C19"/>
    <w:rsid w:val="006F4E68"/>
    <w:rsid w:val="006F5DBF"/>
    <w:rsid w:val="006F65FF"/>
    <w:rsid w:val="00704498"/>
    <w:rsid w:val="00706D7D"/>
    <w:rsid w:val="00714A46"/>
    <w:rsid w:val="00731163"/>
    <w:rsid w:val="007315CE"/>
    <w:rsid w:val="00740CE9"/>
    <w:rsid w:val="00753760"/>
    <w:rsid w:val="00757462"/>
    <w:rsid w:val="00761EA8"/>
    <w:rsid w:val="00766E96"/>
    <w:rsid w:val="0077222B"/>
    <w:rsid w:val="00773089"/>
    <w:rsid w:val="0077397D"/>
    <w:rsid w:val="00775CD9"/>
    <w:rsid w:val="00781A0C"/>
    <w:rsid w:val="007840F0"/>
    <w:rsid w:val="007A036D"/>
    <w:rsid w:val="007A4895"/>
    <w:rsid w:val="007A4FED"/>
    <w:rsid w:val="007A5207"/>
    <w:rsid w:val="007B12F7"/>
    <w:rsid w:val="007B7BC2"/>
    <w:rsid w:val="007D0F0D"/>
    <w:rsid w:val="007D2722"/>
    <w:rsid w:val="007D6122"/>
    <w:rsid w:val="007E5C95"/>
    <w:rsid w:val="007F133E"/>
    <w:rsid w:val="00800B81"/>
    <w:rsid w:val="0080117F"/>
    <w:rsid w:val="00801FA6"/>
    <w:rsid w:val="00803DED"/>
    <w:rsid w:val="008059DE"/>
    <w:rsid w:val="008067A9"/>
    <w:rsid w:val="00814704"/>
    <w:rsid w:val="00815CF6"/>
    <w:rsid w:val="00817DB1"/>
    <w:rsid w:val="00817E05"/>
    <w:rsid w:val="00821BCE"/>
    <w:rsid w:val="008266FF"/>
    <w:rsid w:val="00842F34"/>
    <w:rsid w:val="00844C22"/>
    <w:rsid w:val="00845246"/>
    <w:rsid w:val="00856DBC"/>
    <w:rsid w:val="008572D9"/>
    <w:rsid w:val="00857A57"/>
    <w:rsid w:val="008675F5"/>
    <w:rsid w:val="0087124D"/>
    <w:rsid w:val="008862CE"/>
    <w:rsid w:val="00894469"/>
    <w:rsid w:val="008A65A6"/>
    <w:rsid w:val="008B038A"/>
    <w:rsid w:val="008C0B88"/>
    <w:rsid w:val="008D564B"/>
    <w:rsid w:val="008D5B9A"/>
    <w:rsid w:val="008E2357"/>
    <w:rsid w:val="008E67F1"/>
    <w:rsid w:val="008E7E7A"/>
    <w:rsid w:val="008F0ED0"/>
    <w:rsid w:val="00901DE0"/>
    <w:rsid w:val="00902B63"/>
    <w:rsid w:val="00904D1B"/>
    <w:rsid w:val="00907822"/>
    <w:rsid w:val="00915938"/>
    <w:rsid w:val="00920466"/>
    <w:rsid w:val="00920B34"/>
    <w:rsid w:val="009237CC"/>
    <w:rsid w:val="009269FA"/>
    <w:rsid w:val="0093527D"/>
    <w:rsid w:val="00960B01"/>
    <w:rsid w:val="0097626E"/>
    <w:rsid w:val="00981821"/>
    <w:rsid w:val="00981F9A"/>
    <w:rsid w:val="00982E9A"/>
    <w:rsid w:val="0099044C"/>
    <w:rsid w:val="009939E5"/>
    <w:rsid w:val="009A123A"/>
    <w:rsid w:val="009A2AD9"/>
    <w:rsid w:val="009A37FC"/>
    <w:rsid w:val="009B15B7"/>
    <w:rsid w:val="009C4715"/>
    <w:rsid w:val="009C5125"/>
    <w:rsid w:val="009D097D"/>
    <w:rsid w:val="009D10D9"/>
    <w:rsid w:val="009D6AB6"/>
    <w:rsid w:val="009E045F"/>
    <w:rsid w:val="009E1D83"/>
    <w:rsid w:val="009E3A5D"/>
    <w:rsid w:val="009E5FF9"/>
    <w:rsid w:val="009E6401"/>
    <w:rsid w:val="009F24C6"/>
    <w:rsid w:val="009F3256"/>
    <w:rsid w:val="00A2211D"/>
    <w:rsid w:val="00A242A2"/>
    <w:rsid w:val="00A24E53"/>
    <w:rsid w:val="00A26FED"/>
    <w:rsid w:val="00A27DE5"/>
    <w:rsid w:val="00A33A75"/>
    <w:rsid w:val="00A375E7"/>
    <w:rsid w:val="00A40F67"/>
    <w:rsid w:val="00A44732"/>
    <w:rsid w:val="00A50433"/>
    <w:rsid w:val="00A50D7F"/>
    <w:rsid w:val="00A75CAE"/>
    <w:rsid w:val="00A75F00"/>
    <w:rsid w:val="00A803CC"/>
    <w:rsid w:val="00A8570A"/>
    <w:rsid w:val="00A86569"/>
    <w:rsid w:val="00AA12F3"/>
    <w:rsid w:val="00AA21E7"/>
    <w:rsid w:val="00AA4367"/>
    <w:rsid w:val="00AB3E1A"/>
    <w:rsid w:val="00AC0F0F"/>
    <w:rsid w:val="00AC4ADA"/>
    <w:rsid w:val="00AE6AA2"/>
    <w:rsid w:val="00AE7B12"/>
    <w:rsid w:val="00AF7392"/>
    <w:rsid w:val="00B03C84"/>
    <w:rsid w:val="00B06DED"/>
    <w:rsid w:val="00B23F10"/>
    <w:rsid w:val="00B263B7"/>
    <w:rsid w:val="00B35F8B"/>
    <w:rsid w:val="00B36434"/>
    <w:rsid w:val="00B368F4"/>
    <w:rsid w:val="00B45D81"/>
    <w:rsid w:val="00B4730E"/>
    <w:rsid w:val="00B56323"/>
    <w:rsid w:val="00B64A02"/>
    <w:rsid w:val="00B6674E"/>
    <w:rsid w:val="00B73D74"/>
    <w:rsid w:val="00B91330"/>
    <w:rsid w:val="00B95819"/>
    <w:rsid w:val="00BA3545"/>
    <w:rsid w:val="00BA4C9D"/>
    <w:rsid w:val="00BA7D75"/>
    <w:rsid w:val="00BB6941"/>
    <w:rsid w:val="00BC26D5"/>
    <w:rsid w:val="00BD4B2E"/>
    <w:rsid w:val="00BE315F"/>
    <w:rsid w:val="00BF145C"/>
    <w:rsid w:val="00BF281F"/>
    <w:rsid w:val="00BF2EAE"/>
    <w:rsid w:val="00BF339D"/>
    <w:rsid w:val="00BF49C4"/>
    <w:rsid w:val="00C00BE8"/>
    <w:rsid w:val="00C3288E"/>
    <w:rsid w:val="00C4332B"/>
    <w:rsid w:val="00C450B1"/>
    <w:rsid w:val="00C5163D"/>
    <w:rsid w:val="00C517F7"/>
    <w:rsid w:val="00C518D6"/>
    <w:rsid w:val="00C51CEF"/>
    <w:rsid w:val="00C53302"/>
    <w:rsid w:val="00C555E5"/>
    <w:rsid w:val="00C61E35"/>
    <w:rsid w:val="00C66EEC"/>
    <w:rsid w:val="00C856FE"/>
    <w:rsid w:val="00C86B72"/>
    <w:rsid w:val="00C90185"/>
    <w:rsid w:val="00C955E6"/>
    <w:rsid w:val="00C9712A"/>
    <w:rsid w:val="00CA0B8E"/>
    <w:rsid w:val="00CA1668"/>
    <w:rsid w:val="00CA1FC6"/>
    <w:rsid w:val="00CB5EBB"/>
    <w:rsid w:val="00CB6194"/>
    <w:rsid w:val="00CD02FF"/>
    <w:rsid w:val="00CD05DE"/>
    <w:rsid w:val="00CE5379"/>
    <w:rsid w:val="00CE53BF"/>
    <w:rsid w:val="00CE5DA6"/>
    <w:rsid w:val="00CE6EAD"/>
    <w:rsid w:val="00CF0A96"/>
    <w:rsid w:val="00CF2EAD"/>
    <w:rsid w:val="00CF3DE8"/>
    <w:rsid w:val="00D07212"/>
    <w:rsid w:val="00D256A9"/>
    <w:rsid w:val="00D40714"/>
    <w:rsid w:val="00D42AB4"/>
    <w:rsid w:val="00D43C82"/>
    <w:rsid w:val="00D45183"/>
    <w:rsid w:val="00D50A18"/>
    <w:rsid w:val="00D52289"/>
    <w:rsid w:val="00D6219C"/>
    <w:rsid w:val="00D64A7F"/>
    <w:rsid w:val="00D70FE9"/>
    <w:rsid w:val="00D71953"/>
    <w:rsid w:val="00D80AAB"/>
    <w:rsid w:val="00D84AAC"/>
    <w:rsid w:val="00D9434B"/>
    <w:rsid w:val="00D9797E"/>
    <w:rsid w:val="00DA1994"/>
    <w:rsid w:val="00DA20E3"/>
    <w:rsid w:val="00DB23FA"/>
    <w:rsid w:val="00DC23ED"/>
    <w:rsid w:val="00DD09BB"/>
    <w:rsid w:val="00DD3339"/>
    <w:rsid w:val="00DD35A2"/>
    <w:rsid w:val="00DD7464"/>
    <w:rsid w:val="00DE1622"/>
    <w:rsid w:val="00DE2BBE"/>
    <w:rsid w:val="00DE496B"/>
    <w:rsid w:val="00E013F2"/>
    <w:rsid w:val="00E10DB0"/>
    <w:rsid w:val="00E115E1"/>
    <w:rsid w:val="00E17F80"/>
    <w:rsid w:val="00E211CE"/>
    <w:rsid w:val="00E24A01"/>
    <w:rsid w:val="00E33E1C"/>
    <w:rsid w:val="00E43E62"/>
    <w:rsid w:val="00E43E6E"/>
    <w:rsid w:val="00E45F7E"/>
    <w:rsid w:val="00E519C3"/>
    <w:rsid w:val="00E52FF2"/>
    <w:rsid w:val="00E634FE"/>
    <w:rsid w:val="00E64044"/>
    <w:rsid w:val="00E65205"/>
    <w:rsid w:val="00E7266F"/>
    <w:rsid w:val="00E7387F"/>
    <w:rsid w:val="00E807AC"/>
    <w:rsid w:val="00E9145E"/>
    <w:rsid w:val="00EB4BE6"/>
    <w:rsid w:val="00EC10FA"/>
    <w:rsid w:val="00EC20CC"/>
    <w:rsid w:val="00ED0ABF"/>
    <w:rsid w:val="00ED1BA5"/>
    <w:rsid w:val="00ED4644"/>
    <w:rsid w:val="00ED7F61"/>
    <w:rsid w:val="00EE3AF2"/>
    <w:rsid w:val="00EF4FB0"/>
    <w:rsid w:val="00F04B98"/>
    <w:rsid w:val="00F121CF"/>
    <w:rsid w:val="00F14C74"/>
    <w:rsid w:val="00F206FC"/>
    <w:rsid w:val="00F22FA5"/>
    <w:rsid w:val="00F24FC5"/>
    <w:rsid w:val="00F2571F"/>
    <w:rsid w:val="00F32878"/>
    <w:rsid w:val="00F3719D"/>
    <w:rsid w:val="00F40160"/>
    <w:rsid w:val="00F41F68"/>
    <w:rsid w:val="00F42851"/>
    <w:rsid w:val="00F430B7"/>
    <w:rsid w:val="00F47317"/>
    <w:rsid w:val="00F71947"/>
    <w:rsid w:val="00F8103E"/>
    <w:rsid w:val="00FA0E9E"/>
    <w:rsid w:val="00FA1CA7"/>
    <w:rsid w:val="00FA7994"/>
    <w:rsid w:val="00FB22D3"/>
    <w:rsid w:val="00FC4A13"/>
    <w:rsid w:val="00FC5EF6"/>
    <w:rsid w:val="00FD1511"/>
    <w:rsid w:val="00FD20C0"/>
    <w:rsid w:val="00FD2393"/>
    <w:rsid w:val="00FD45F3"/>
    <w:rsid w:val="00FD4706"/>
    <w:rsid w:val="00FE392E"/>
    <w:rsid w:val="00FE70E6"/>
    <w:rsid w:val="00FF5DE6"/>
    <w:rsid w:val="13064B90"/>
    <w:rsid w:val="2CA64396"/>
    <w:rsid w:val="43483C25"/>
    <w:rsid w:val="537A6577"/>
    <w:rsid w:val="553D7D5A"/>
    <w:rsid w:val="57AD5D7B"/>
    <w:rsid w:val="77A307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0"/>
    <w:unhideWhenUsed/>
    <w:qFormat/>
    <w:uiPriority w:val="0"/>
    <w:pPr>
      <w:jc w:val="left"/>
    </w:pPr>
    <w:rPr>
      <w:rFonts w:ascii="Times New Roman" w:hAnsi="Times New Roman" w:eastAsia="宋体" w:cs="Times New Roman"/>
      <w:szCs w:val="24"/>
      <w14:ligatures w14:val="none"/>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tabs>
        <w:tab w:val="center" w:pos="4153"/>
        <w:tab w:val="right" w:pos="8306"/>
      </w:tabs>
      <w:snapToGrid w:val="0"/>
      <w:jc w:val="center"/>
    </w:pPr>
    <w:rPr>
      <w:sz w:val="18"/>
      <w:szCs w:val="18"/>
    </w:rPr>
  </w:style>
  <w:style w:type="character" w:styleId="7">
    <w:name w:val="annotation reference"/>
    <w:unhideWhenUsed/>
    <w:qFormat/>
    <w:uiPriority w:val="0"/>
    <w:rPr>
      <w:sz w:val="21"/>
      <w:szCs w:val="21"/>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批注文字 字符"/>
    <w:basedOn w:val="6"/>
    <w:link w:val="2"/>
    <w:qFormat/>
    <w:uiPriority w:val="0"/>
    <w:rPr>
      <w:rFonts w:ascii="Times New Roman" w:hAnsi="Times New Roman" w:eastAsia="宋体" w:cs="Times New Roman"/>
      <w:szCs w:val="24"/>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2242</Words>
  <Characters>2317</Characters>
  <Lines>48</Lines>
  <Paragraphs>33</Paragraphs>
  <TotalTime>7</TotalTime>
  <ScaleCrop>false</ScaleCrop>
  <LinksUpToDate>false</LinksUpToDate>
  <CharactersWithSpaces>2328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2024-04-19T00:48:00Z</dcterms:created>
  <dc:creator>g h</dc:creator>
  <cp:lastModifiedBy>行者</cp:lastModifiedBy>
  <cp:lastPrinted>2025-04-14T07:42:00Z</cp:lastPrinted>
  <dcterms:modified xsi:type="dcterms:W3CDTF">2026-04-23T02:18:07Z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eyJoZGlkIjoiNGQ4NDc3Y2I3NjBlYzYyMTdiZTYyZTRlOTI4NjhiZmEiLCJ1c2VySWQiOiIyNjQ5ODE4NDgifQ==</vt:lpwstr>
  </property>
  <property fmtid="{D5CDD505-2E9C-101B-9397-08002B2CF9AE}" pid="3" name="KSOProductBuildVer">
    <vt:lpwstr>2052-12.1.0.25865</vt:lpwstr>
  </property>
  <property fmtid="{D5CDD505-2E9C-101B-9397-08002B2CF9AE}" pid="4" name="ICV">
    <vt:lpwstr>0B607DF843004AED8B102813C39FB9D3_12</vt:lpwstr>
  </property>
</Properties>
</file>