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0" w:type="auto"/>
        <w:tblInd w:w="0" w:type="dxa"/>
        <w:tblLayout w:type="fixed"/>
        <w:tblCellMar>
          <w:top w:w="0" w:type="dxa"/>
          <w:left w:w="108" w:type="dxa"/>
          <w:bottom w:w="0" w:type="dxa"/>
          <w:right w:w="108" w:type="dxa"/>
        </w:tblCellMar>
      </w:tblPr>
      <w:tblGrid>
        <w:gridCol w:w="8522"/>
      </w:tblGrid>
      <w:tr w14:paraId="0ADEE35B">
        <w:tblPrEx>
          <w:tblCellMar>
            <w:top w:w="0" w:type="dxa"/>
            <w:left w:w="108" w:type="dxa"/>
            <w:bottom w:w="0" w:type="dxa"/>
            <w:right w:w="108" w:type="dxa"/>
          </w:tblCellMar>
        </w:tblPrEx>
        <w:tc>
          <w:tcPr>
            <w:tcW w:w="8522" w:type="dxa"/>
          </w:tcPr>
          <w:p w14:paraId="06BFE5C8">
            <w:pPr>
              <w:jc w:val="center"/>
              <w:rPr>
                <w:rFonts w:ascii="楷体_GB2312" w:eastAsia="楷体_GB2312"/>
              </w:rPr>
            </w:pPr>
          </w:p>
        </w:tc>
      </w:tr>
      <w:tr w14:paraId="4F449B7E">
        <w:tc>
          <w:tcPr>
            <w:tcW w:w="8522" w:type="dxa"/>
          </w:tcPr>
          <w:p w14:paraId="23C4C84B">
            <w:pPr>
              <w:jc w:val="center"/>
              <w:rPr>
                <w:rFonts w:ascii="楷体_GB2312" w:eastAsia="楷体_GB2312"/>
              </w:rPr>
            </w:pPr>
          </w:p>
        </w:tc>
      </w:tr>
      <w:tr w14:paraId="36A55915">
        <w:tblPrEx>
          <w:tblCellMar>
            <w:top w:w="0" w:type="dxa"/>
            <w:left w:w="108" w:type="dxa"/>
            <w:bottom w:w="0" w:type="dxa"/>
            <w:right w:w="108" w:type="dxa"/>
          </w:tblCellMar>
        </w:tblPrEx>
        <w:tc>
          <w:tcPr>
            <w:tcW w:w="8522" w:type="dxa"/>
          </w:tcPr>
          <w:p w14:paraId="160E1E19">
            <w:pPr>
              <w:jc w:val="center"/>
              <w:rPr>
                <w:rFonts w:ascii="楷体_GB2312" w:eastAsia="楷体_GB2312"/>
              </w:rPr>
            </w:pPr>
          </w:p>
        </w:tc>
      </w:tr>
      <w:tr w14:paraId="31A68D63">
        <w:tblPrEx>
          <w:tblCellMar>
            <w:top w:w="0" w:type="dxa"/>
            <w:left w:w="108" w:type="dxa"/>
            <w:bottom w:w="0" w:type="dxa"/>
            <w:right w:w="108" w:type="dxa"/>
          </w:tblCellMar>
        </w:tblPrEx>
        <w:tc>
          <w:tcPr>
            <w:tcW w:w="8522" w:type="dxa"/>
          </w:tcPr>
          <w:p w14:paraId="005756B8">
            <w:pPr>
              <w:jc w:val="center"/>
              <w:rPr>
                <w:rFonts w:ascii="楷体_GB2312" w:eastAsia="楷体_GB2312"/>
              </w:rPr>
            </w:pPr>
          </w:p>
        </w:tc>
      </w:tr>
      <w:tr w14:paraId="33B9166A">
        <w:tblPrEx>
          <w:tblCellMar>
            <w:top w:w="0" w:type="dxa"/>
            <w:left w:w="108" w:type="dxa"/>
            <w:bottom w:w="0" w:type="dxa"/>
            <w:right w:w="108" w:type="dxa"/>
          </w:tblCellMar>
        </w:tblPrEx>
        <w:tc>
          <w:tcPr>
            <w:tcW w:w="8522" w:type="dxa"/>
          </w:tcPr>
          <w:p w14:paraId="5D8ADFD0">
            <w:pPr>
              <w:jc w:val="center"/>
              <w:rPr>
                <w:rFonts w:ascii="楷体_GB2312" w:eastAsia="楷体_GB2312"/>
              </w:rPr>
            </w:pPr>
          </w:p>
        </w:tc>
      </w:tr>
      <w:tr w14:paraId="10FE7388">
        <w:tblPrEx>
          <w:tblCellMar>
            <w:top w:w="0" w:type="dxa"/>
            <w:left w:w="108" w:type="dxa"/>
            <w:bottom w:w="0" w:type="dxa"/>
            <w:right w:w="108" w:type="dxa"/>
          </w:tblCellMar>
        </w:tblPrEx>
        <w:tc>
          <w:tcPr>
            <w:tcW w:w="8522" w:type="dxa"/>
          </w:tcPr>
          <w:p w14:paraId="5E9DB0E8">
            <w:pPr>
              <w:spacing w:line="440" w:lineRule="exact"/>
              <w:jc w:val="center"/>
              <w:rPr>
                <w:rFonts w:ascii="楷体_GB2312" w:eastAsia="楷体_GB2312"/>
                <w:b/>
                <w:bCs/>
                <w:sz w:val="44"/>
                <w:szCs w:val="44"/>
              </w:rPr>
            </w:pPr>
            <w:r>
              <w:rPr>
                <w:rFonts w:hint="eastAsia" w:ascii="楷体_GB2312" w:eastAsia="楷体_GB2312"/>
                <w:b/>
                <w:bCs/>
                <w:sz w:val="44"/>
                <w:szCs w:val="44"/>
              </w:rPr>
              <w:t>山东好当家海洋发展股份有限公司</w:t>
            </w:r>
          </w:p>
          <w:p w14:paraId="62988A4C">
            <w:pPr>
              <w:spacing w:line="440" w:lineRule="exact"/>
              <w:jc w:val="center"/>
              <w:rPr>
                <w:rFonts w:ascii="楷体_GB2312" w:hAnsi="Comic Sans MS" w:eastAsia="楷体_GB2312"/>
                <w:b/>
                <w:bCs/>
                <w:sz w:val="28"/>
                <w:szCs w:val="28"/>
              </w:rPr>
            </w:pPr>
            <w:r>
              <w:rPr>
                <w:rFonts w:hint="eastAsia" w:ascii="楷体_GB2312" w:hAnsi="Comic Sans MS" w:eastAsia="楷体_GB2312"/>
                <w:b/>
                <w:sz w:val="28"/>
                <w:szCs w:val="28"/>
              </w:rPr>
              <w:t>SHANDONG HOMEY AQUATIC DEVELOPMENT CO.,LTD</w:t>
            </w:r>
          </w:p>
        </w:tc>
      </w:tr>
      <w:tr w14:paraId="61893FDD">
        <w:tblPrEx>
          <w:tblCellMar>
            <w:top w:w="0" w:type="dxa"/>
            <w:left w:w="108" w:type="dxa"/>
            <w:bottom w:w="0" w:type="dxa"/>
            <w:right w:w="108" w:type="dxa"/>
          </w:tblCellMar>
        </w:tblPrEx>
        <w:tc>
          <w:tcPr>
            <w:tcW w:w="8522" w:type="dxa"/>
          </w:tcPr>
          <w:p w14:paraId="0CA2EDCB">
            <w:pPr>
              <w:jc w:val="center"/>
              <w:rPr>
                <w:rFonts w:ascii="楷体_GB2312" w:eastAsia="楷体_GB2312"/>
                <w:b/>
                <w:bCs/>
                <w:sz w:val="44"/>
                <w:szCs w:val="44"/>
              </w:rPr>
            </w:pPr>
          </w:p>
        </w:tc>
      </w:tr>
      <w:tr w14:paraId="38A8F77A">
        <w:tblPrEx>
          <w:tblCellMar>
            <w:top w:w="0" w:type="dxa"/>
            <w:left w:w="108" w:type="dxa"/>
            <w:bottom w:w="0" w:type="dxa"/>
            <w:right w:w="108" w:type="dxa"/>
          </w:tblCellMar>
        </w:tblPrEx>
        <w:tc>
          <w:tcPr>
            <w:tcW w:w="8522" w:type="dxa"/>
          </w:tcPr>
          <w:p w14:paraId="6963E72F">
            <w:pPr>
              <w:jc w:val="center"/>
              <w:rPr>
                <w:rFonts w:ascii="楷体_GB2312" w:eastAsia="楷体_GB2312"/>
                <w:b/>
                <w:bCs/>
                <w:sz w:val="30"/>
                <w:szCs w:val="30"/>
              </w:rPr>
            </w:pPr>
            <w:r>
              <w:rPr>
                <w:rFonts w:hint="eastAsia" w:ascii="楷体_GB2312" w:eastAsia="楷体_GB2312"/>
                <w:b/>
                <w:bCs/>
                <w:sz w:val="30"/>
                <w:szCs w:val="30"/>
              </w:rPr>
              <w:t>股票代码：600467    股票简称：好当家</w:t>
            </w:r>
          </w:p>
        </w:tc>
      </w:tr>
      <w:tr w14:paraId="16AFF3E0">
        <w:tblPrEx>
          <w:tblCellMar>
            <w:top w:w="0" w:type="dxa"/>
            <w:left w:w="108" w:type="dxa"/>
            <w:bottom w:w="0" w:type="dxa"/>
            <w:right w:w="108" w:type="dxa"/>
          </w:tblCellMar>
        </w:tblPrEx>
        <w:tc>
          <w:tcPr>
            <w:tcW w:w="8522" w:type="dxa"/>
          </w:tcPr>
          <w:p w14:paraId="452AD165">
            <w:pPr>
              <w:jc w:val="center"/>
              <w:rPr>
                <w:rFonts w:ascii="楷体_GB2312" w:eastAsia="楷体_GB2312"/>
                <w:b/>
                <w:bCs/>
                <w:sz w:val="36"/>
              </w:rPr>
            </w:pPr>
          </w:p>
        </w:tc>
      </w:tr>
      <w:tr w14:paraId="5BC96591">
        <w:tblPrEx>
          <w:tblCellMar>
            <w:top w:w="0" w:type="dxa"/>
            <w:left w:w="108" w:type="dxa"/>
            <w:bottom w:w="0" w:type="dxa"/>
            <w:right w:w="108" w:type="dxa"/>
          </w:tblCellMar>
        </w:tblPrEx>
        <w:tc>
          <w:tcPr>
            <w:tcW w:w="8522" w:type="dxa"/>
          </w:tcPr>
          <w:p w14:paraId="772B863A">
            <w:pPr>
              <w:jc w:val="center"/>
              <w:rPr>
                <w:rFonts w:ascii="楷体_GB2312" w:eastAsia="楷体_GB2312"/>
                <w:b/>
                <w:bCs/>
                <w:sz w:val="36"/>
              </w:rPr>
            </w:pPr>
            <w:r>
              <w:rPr>
                <w:rFonts w:hint="eastAsia" w:ascii="楷体_GB2312" w:hAnsi="Franklin Gothic Medium" w:eastAsia="楷体_GB2312" w:cs="Raavi"/>
                <w:b/>
                <w:bCs/>
                <w:sz w:val="44"/>
                <w:szCs w:val="44"/>
              </w:rPr>
              <w:t>2025</w:t>
            </w:r>
            <w:r>
              <w:rPr>
                <w:rFonts w:hint="eastAsia" w:ascii="楷体_GB2312" w:eastAsia="楷体_GB2312"/>
                <w:b/>
                <w:bCs/>
                <w:sz w:val="44"/>
                <w:szCs w:val="44"/>
              </w:rPr>
              <w:t>年度股东会</w:t>
            </w:r>
          </w:p>
        </w:tc>
      </w:tr>
      <w:tr w14:paraId="349EA786">
        <w:tblPrEx>
          <w:tblCellMar>
            <w:top w:w="0" w:type="dxa"/>
            <w:left w:w="108" w:type="dxa"/>
            <w:bottom w:w="0" w:type="dxa"/>
            <w:right w:w="108" w:type="dxa"/>
          </w:tblCellMar>
        </w:tblPrEx>
        <w:trPr>
          <w:trHeight w:val="419" w:hRule="atLeast"/>
        </w:trPr>
        <w:tc>
          <w:tcPr>
            <w:tcW w:w="8522" w:type="dxa"/>
          </w:tcPr>
          <w:p w14:paraId="584A4750">
            <w:pPr>
              <w:jc w:val="center"/>
              <w:rPr>
                <w:rFonts w:ascii="楷体_GB2312" w:eastAsia="楷体_GB2312"/>
                <w:b/>
                <w:bCs/>
                <w:sz w:val="36"/>
              </w:rPr>
            </w:pPr>
          </w:p>
        </w:tc>
      </w:tr>
      <w:tr w14:paraId="60E33C0B">
        <w:tblPrEx>
          <w:tblCellMar>
            <w:top w:w="0" w:type="dxa"/>
            <w:left w:w="108" w:type="dxa"/>
            <w:bottom w:w="0" w:type="dxa"/>
            <w:right w:w="108" w:type="dxa"/>
          </w:tblCellMar>
        </w:tblPrEx>
        <w:tc>
          <w:tcPr>
            <w:tcW w:w="8522" w:type="dxa"/>
          </w:tcPr>
          <w:p w14:paraId="458D82E4">
            <w:pPr>
              <w:jc w:val="center"/>
              <w:rPr>
                <w:rFonts w:ascii="楷体_GB2312" w:eastAsia="楷体_GB2312"/>
                <w:b/>
                <w:bCs/>
                <w:sz w:val="36"/>
              </w:rPr>
            </w:pPr>
            <w:r>
              <w:object>
                <v:shape id="_x0000_i1025" o:spt="75" type="#_x0000_t75" style="height:162pt;width:136.8pt;" o:ole="t" filled="f" o:preferrelative="t" stroked="f" coordsize="21600,21600">
                  <v:path/>
                  <v:fill on="f" focussize="0,0"/>
                  <v:stroke on="f" joinstyle="miter"/>
                  <v:imagedata r:id="rId7" o:title=""/>
                  <o:lock v:ext="edit" aspectratio="t"/>
                  <w10:wrap type="none"/>
                  <w10:anchorlock/>
                </v:shape>
                <o:OLEObject Type="Embed" ProgID="PBrush" ShapeID="_x0000_i1025" DrawAspect="Content" ObjectID="_1468075725" r:id="rId6">
                  <o:LockedField>false</o:LockedField>
                </o:OLEObject>
              </w:object>
            </w:r>
          </w:p>
        </w:tc>
      </w:tr>
      <w:tr w14:paraId="327985F7">
        <w:tblPrEx>
          <w:tblCellMar>
            <w:top w:w="0" w:type="dxa"/>
            <w:left w:w="108" w:type="dxa"/>
            <w:bottom w:w="0" w:type="dxa"/>
            <w:right w:w="108" w:type="dxa"/>
          </w:tblCellMar>
        </w:tblPrEx>
        <w:tc>
          <w:tcPr>
            <w:tcW w:w="8522" w:type="dxa"/>
          </w:tcPr>
          <w:p w14:paraId="08835C53">
            <w:pPr>
              <w:jc w:val="center"/>
              <w:rPr>
                <w:rFonts w:ascii="楷体_GB2312" w:eastAsia="楷体_GB2312"/>
                <w:b/>
                <w:bCs/>
                <w:sz w:val="36"/>
              </w:rPr>
            </w:pPr>
          </w:p>
        </w:tc>
      </w:tr>
      <w:tr w14:paraId="72F3D363">
        <w:tblPrEx>
          <w:tblCellMar>
            <w:top w:w="0" w:type="dxa"/>
            <w:left w:w="108" w:type="dxa"/>
            <w:bottom w:w="0" w:type="dxa"/>
            <w:right w:w="108" w:type="dxa"/>
          </w:tblCellMar>
        </w:tblPrEx>
        <w:tc>
          <w:tcPr>
            <w:tcW w:w="8522" w:type="dxa"/>
          </w:tcPr>
          <w:p w14:paraId="7B1515D7">
            <w:pPr>
              <w:jc w:val="center"/>
              <w:rPr>
                <w:rFonts w:ascii="楷体_GB2312" w:eastAsia="楷体_GB2312"/>
                <w:b/>
                <w:bCs/>
                <w:sz w:val="72"/>
                <w:szCs w:val="72"/>
              </w:rPr>
            </w:pPr>
            <w:r>
              <w:rPr>
                <w:rFonts w:hint="eastAsia" w:ascii="楷体_GB2312" w:eastAsia="楷体_GB2312"/>
                <w:b/>
                <w:bCs/>
                <w:sz w:val="72"/>
                <w:szCs w:val="72"/>
              </w:rPr>
              <w:t>会 议 材 料</w:t>
            </w:r>
          </w:p>
        </w:tc>
      </w:tr>
      <w:tr w14:paraId="43EFD19D">
        <w:tblPrEx>
          <w:tblCellMar>
            <w:top w:w="0" w:type="dxa"/>
            <w:left w:w="108" w:type="dxa"/>
            <w:bottom w:w="0" w:type="dxa"/>
            <w:right w:w="108" w:type="dxa"/>
          </w:tblCellMar>
        </w:tblPrEx>
        <w:tc>
          <w:tcPr>
            <w:tcW w:w="8522" w:type="dxa"/>
          </w:tcPr>
          <w:p w14:paraId="0F016797">
            <w:pPr>
              <w:jc w:val="center"/>
              <w:rPr>
                <w:rFonts w:ascii="楷体_GB2312" w:eastAsia="楷体_GB2312"/>
                <w:b/>
                <w:bCs/>
                <w:sz w:val="44"/>
              </w:rPr>
            </w:pPr>
          </w:p>
        </w:tc>
      </w:tr>
      <w:tr w14:paraId="31DB74EF">
        <w:tblPrEx>
          <w:tblCellMar>
            <w:top w:w="0" w:type="dxa"/>
            <w:left w:w="108" w:type="dxa"/>
            <w:bottom w:w="0" w:type="dxa"/>
            <w:right w:w="108" w:type="dxa"/>
          </w:tblCellMar>
        </w:tblPrEx>
        <w:tc>
          <w:tcPr>
            <w:tcW w:w="8522" w:type="dxa"/>
          </w:tcPr>
          <w:p w14:paraId="624951FE">
            <w:pPr>
              <w:rPr>
                <w:rFonts w:ascii="楷体_GB2312" w:eastAsia="楷体_GB2312"/>
                <w:b/>
                <w:bCs/>
                <w:sz w:val="44"/>
              </w:rPr>
            </w:pPr>
          </w:p>
        </w:tc>
      </w:tr>
      <w:tr w14:paraId="6B77FC20">
        <w:tblPrEx>
          <w:tblCellMar>
            <w:top w:w="0" w:type="dxa"/>
            <w:left w:w="108" w:type="dxa"/>
            <w:bottom w:w="0" w:type="dxa"/>
            <w:right w:w="108" w:type="dxa"/>
          </w:tblCellMar>
        </w:tblPrEx>
        <w:tc>
          <w:tcPr>
            <w:tcW w:w="8522" w:type="dxa"/>
          </w:tcPr>
          <w:p w14:paraId="4B21D1BC">
            <w:pPr>
              <w:jc w:val="center"/>
              <w:rPr>
                <w:rFonts w:ascii="楷体_GB2312" w:eastAsia="楷体_GB2312"/>
                <w:b/>
                <w:bCs/>
                <w:sz w:val="28"/>
                <w:szCs w:val="28"/>
              </w:rPr>
            </w:pPr>
            <w:r>
              <w:rPr>
                <w:rFonts w:hint="eastAsia" w:ascii="楷体_GB2312" w:eastAsia="楷体_GB2312"/>
                <w:b/>
                <w:bCs/>
                <w:sz w:val="28"/>
                <w:szCs w:val="28"/>
              </w:rPr>
              <w:t>二○二六年五月十八日</w:t>
            </w:r>
          </w:p>
        </w:tc>
      </w:tr>
      <w:tr w14:paraId="0CA1ED63">
        <w:tblPrEx>
          <w:tblCellMar>
            <w:top w:w="0" w:type="dxa"/>
            <w:left w:w="108" w:type="dxa"/>
            <w:bottom w:w="0" w:type="dxa"/>
            <w:right w:w="108" w:type="dxa"/>
          </w:tblCellMar>
        </w:tblPrEx>
        <w:tc>
          <w:tcPr>
            <w:tcW w:w="8522" w:type="dxa"/>
          </w:tcPr>
          <w:p w14:paraId="751047DD">
            <w:pPr>
              <w:rPr>
                <w:rFonts w:ascii="楷体_GB2312" w:eastAsia="楷体_GB2312"/>
              </w:rPr>
            </w:pPr>
          </w:p>
        </w:tc>
      </w:tr>
      <w:tr w14:paraId="55E98B34">
        <w:tblPrEx>
          <w:tblCellMar>
            <w:top w:w="0" w:type="dxa"/>
            <w:left w:w="108" w:type="dxa"/>
            <w:bottom w:w="0" w:type="dxa"/>
            <w:right w:w="108" w:type="dxa"/>
          </w:tblCellMar>
        </w:tblPrEx>
        <w:tc>
          <w:tcPr>
            <w:tcW w:w="8522" w:type="dxa"/>
          </w:tcPr>
          <w:p w14:paraId="3B1CAB6F">
            <w:pPr>
              <w:jc w:val="center"/>
              <w:rPr>
                <w:rFonts w:ascii="楷体_GB2312" w:eastAsia="楷体_GB2312"/>
              </w:rPr>
            </w:pPr>
          </w:p>
        </w:tc>
      </w:tr>
      <w:tr w14:paraId="178D4824">
        <w:tblPrEx>
          <w:tblCellMar>
            <w:top w:w="0" w:type="dxa"/>
            <w:left w:w="108" w:type="dxa"/>
            <w:bottom w:w="0" w:type="dxa"/>
            <w:right w:w="108" w:type="dxa"/>
          </w:tblCellMar>
        </w:tblPrEx>
        <w:tc>
          <w:tcPr>
            <w:tcW w:w="8522" w:type="dxa"/>
          </w:tcPr>
          <w:p w14:paraId="7B8E2779">
            <w:pPr>
              <w:jc w:val="center"/>
              <w:rPr>
                <w:rFonts w:ascii="楷体_GB2312" w:eastAsia="楷体_GB2312"/>
              </w:rPr>
            </w:pPr>
          </w:p>
        </w:tc>
      </w:tr>
    </w:tbl>
    <w:p w14:paraId="2215583C"/>
    <w:p w14:paraId="27E6B065">
      <w:pPr>
        <w:spacing w:line="400" w:lineRule="exact"/>
        <w:jc w:val="center"/>
        <w:rPr>
          <w:rFonts w:ascii="黑体" w:eastAsia="黑体"/>
          <w:b/>
          <w:bCs/>
          <w:sz w:val="32"/>
          <w:szCs w:val="32"/>
        </w:rPr>
        <w:sectPr>
          <w:footerReference r:id="rId3" w:type="default"/>
          <w:footerReference r:id="rId4" w:type="even"/>
          <w:pgSz w:w="11906" w:h="16838"/>
          <w:pgMar w:top="1440" w:right="1797" w:bottom="1440" w:left="1797" w:header="851" w:footer="992" w:gutter="0"/>
          <w:cols w:space="720" w:num="1"/>
          <w:docGrid w:type="lines" w:linePitch="312" w:charSpace="0"/>
        </w:sectPr>
      </w:pPr>
    </w:p>
    <w:p w14:paraId="5809C7D0">
      <w:pPr>
        <w:spacing w:line="400" w:lineRule="exact"/>
        <w:jc w:val="center"/>
        <w:rPr>
          <w:rFonts w:ascii="黑体" w:eastAsia="黑体"/>
          <w:b/>
          <w:bCs/>
          <w:sz w:val="32"/>
          <w:szCs w:val="32"/>
        </w:rPr>
      </w:pPr>
      <w:r>
        <w:rPr>
          <w:rFonts w:hint="eastAsia" w:ascii="黑体" w:eastAsia="黑体"/>
          <w:b/>
          <w:bCs/>
          <w:sz w:val="32"/>
          <w:szCs w:val="32"/>
        </w:rPr>
        <w:t>山东好当家海洋发展股份有限公司</w:t>
      </w:r>
    </w:p>
    <w:p w14:paraId="0A436E74">
      <w:pPr>
        <w:spacing w:line="400" w:lineRule="exact"/>
        <w:jc w:val="center"/>
        <w:rPr>
          <w:rFonts w:eastAsia="黑体"/>
          <w:b/>
          <w:bCs/>
          <w:sz w:val="32"/>
          <w:szCs w:val="32"/>
        </w:rPr>
      </w:pPr>
      <w:r>
        <w:rPr>
          <w:rFonts w:hint="eastAsia" w:ascii="黑体" w:eastAsia="黑体"/>
          <w:b/>
          <w:bCs/>
          <w:sz w:val="32"/>
          <w:szCs w:val="32"/>
        </w:rPr>
        <w:t>2025年度股东会会议议程</w:t>
      </w:r>
    </w:p>
    <w:p w14:paraId="57F0FD3B">
      <w:pPr>
        <w:spacing w:line="400" w:lineRule="exact"/>
        <w:jc w:val="center"/>
        <w:rPr>
          <w:b/>
          <w:bCs/>
          <w:sz w:val="24"/>
        </w:rPr>
      </w:pPr>
    </w:p>
    <w:p w14:paraId="532F96E6">
      <w:pPr>
        <w:spacing w:line="400" w:lineRule="exact"/>
        <w:jc w:val="center"/>
        <w:rPr>
          <w:b/>
          <w:bCs/>
          <w:sz w:val="24"/>
        </w:rPr>
      </w:pPr>
    </w:p>
    <w:p w14:paraId="63BCE6EB">
      <w:pPr>
        <w:spacing w:line="400" w:lineRule="exact"/>
        <w:rPr>
          <w:rFonts w:eastAsia="黑体"/>
          <w:bCs/>
          <w:sz w:val="24"/>
        </w:rPr>
      </w:pPr>
      <w:r>
        <w:rPr>
          <w:rFonts w:hint="eastAsia" w:eastAsia="黑体"/>
          <w:bCs/>
          <w:sz w:val="24"/>
        </w:rPr>
        <w:t>会议时间：</w:t>
      </w:r>
      <w:bookmarkStart w:id="0" w:name="OLE_LINK4"/>
      <w:r>
        <w:rPr>
          <w:rFonts w:hint="eastAsia" w:eastAsia="黑体"/>
          <w:bCs/>
          <w:sz w:val="24"/>
        </w:rPr>
        <w:t>2026年5月18日上午9:30</w:t>
      </w:r>
      <w:bookmarkEnd w:id="0"/>
    </w:p>
    <w:p w14:paraId="60F3BEC1">
      <w:pPr>
        <w:spacing w:line="400" w:lineRule="exact"/>
        <w:rPr>
          <w:rFonts w:eastAsia="黑体"/>
          <w:bCs/>
          <w:sz w:val="24"/>
        </w:rPr>
      </w:pPr>
      <w:r>
        <w:rPr>
          <w:rFonts w:hint="eastAsia" w:eastAsia="黑体"/>
          <w:bCs/>
          <w:sz w:val="24"/>
        </w:rPr>
        <w:t>会议地点：</w:t>
      </w:r>
      <w:bookmarkStart w:id="1" w:name="_Hlk203830504"/>
      <w:r>
        <w:rPr>
          <w:rFonts w:hint="eastAsia" w:eastAsia="黑体"/>
          <w:bCs/>
          <w:sz w:val="24"/>
        </w:rPr>
        <w:t>公司5楼2号会议室</w:t>
      </w:r>
      <w:bookmarkEnd w:id="1"/>
    </w:p>
    <w:p w14:paraId="01E9D5D9">
      <w:pPr>
        <w:spacing w:line="400" w:lineRule="exact"/>
        <w:rPr>
          <w:rFonts w:eastAsia="黑体"/>
          <w:bCs/>
          <w:sz w:val="24"/>
        </w:rPr>
      </w:pPr>
      <w:r>
        <w:rPr>
          <w:rFonts w:hint="eastAsia" w:eastAsia="黑体"/>
          <w:bCs/>
          <w:sz w:val="24"/>
        </w:rPr>
        <w:t>会议召开方式：现场投票与网络投票相结合的方式</w:t>
      </w:r>
    </w:p>
    <w:p w14:paraId="02BD903F">
      <w:pPr>
        <w:spacing w:line="400" w:lineRule="exact"/>
        <w:rPr>
          <w:rFonts w:eastAsia="黑体"/>
          <w:bCs/>
          <w:sz w:val="24"/>
        </w:rPr>
      </w:pPr>
      <w:r>
        <w:rPr>
          <w:rFonts w:hint="eastAsia" w:eastAsia="黑体"/>
          <w:bCs/>
          <w:sz w:val="24"/>
        </w:rPr>
        <w:t>会议主持人：唐传勤先生</w:t>
      </w:r>
    </w:p>
    <w:p w14:paraId="3D536D06">
      <w:pPr>
        <w:spacing w:line="400" w:lineRule="exact"/>
        <w:rPr>
          <w:rFonts w:eastAsia="黑体"/>
          <w:bCs/>
          <w:sz w:val="24"/>
        </w:rPr>
      </w:pPr>
      <w:r>
        <w:rPr>
          <w:rFonts w:hint="eastAsia" w:eastAsia="黑体"/>
          <w:bCs/>
          <w:sz w:val="24"/>
        </w:rPr>
        <w:t>会议议程：</w:t>
      </w:r>
    </w:p>
    <w:p w14:paraId="448A4921">
      <w:pPr>
        <w:spacing w:line="400" w:lineRule="exact"/>
        <w:rPr>
          <w:rFonts w:eastAsia="黑体"/>
          <w:bCs/>
          <w:sz w:val="24"/>
        </w:rPr>
      </w:pPr>
    </w:p>
    <w:p w14:paraId="082453E7">
      <w:pPr>
        <w:spacing w:line="400" w:lineRule="exact"/>
        <w:rPr>
          <w:rFonts w:hint="eastAsia" w:ascii="宋体" w:hAnsi="宋体"/>
          <w:bCs/>
          <w:sz w:val="24"/>
        </w:rPr>
      </w:pPr>
      <w:r>
        <w:rPr>
          <w:rFonts w:hint="eastAsia" w:ascii="宋体" w:hAnsi="宋体"/>
          <w:bCs/>
          <w:sz w:val="24"/>
        </w:rPr>
        <w:t>一、宣布大会开幕并致开幕词（董事长唐传勤先生）</w:t>
      </w:r>
    </w:p>
    <w:p w14:paraId="74B38162">
      <w:pPr>
        <w:spacing w:line="400" w:lineRule="exact"/>
        <w:rPr>
          <w:rFonts w:hint="eastAsia" w:ascii="宋体" w:hAnsi="宋体"/>
          <w:bCs/>
          <w:sz w:val="24"/>
        </w:rPr>
      </w:pPr>
      <w:r>
        <w:rPr>
          <w:rFonts w:hint="eastAsia" w:ascii="宋体" w:hAnsi="宋体"/>
          <w:bCs/>
          <w:sz w:val="24"/>
        </w:rPr>
        <w:t>二、听取并审议各项议案</w:t>
      </w:r>
    </w:p>
    <w:tbl>
      <w:tblPr>
        <w:tblStyle w:val="11"/>
        <w:tblW w:w="8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6347"/>
        <w:gridCol w:w="1580"/>
      </w:tblGrid>
      <w:tr w14:paraId="4B5C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tcPr>
          <w:p w14:paraId="25777CD9">
            <w:pPr>
              <w:spacing w:line="420" w:lineRule="exact"/>
              <w:jc w:val="center"/>
              <w:rPr>
                <w:rFonts w:hint="eastAsia" w:ascii="宋体" w:hAnsi="宋体"/>
                <w:b/>
                <w:bCs/>
                <w:sz w:val="24"/>
              </w:rPr>
            </w:pPr>
            <w:r>
              <w:rPr>
                <w:rFonts w:hint="eastAsia" w:ascii="宋体" w:hAnsi="宋体"/>
                <w:b/>
                <w:bCs/>
                <w:sz w:val="24"/>
              </w:rPr>
              <w:t>序号</w:t>
            </w:r>
          </w:p>
        </w:tc>
        <w:tc>
          <w:tcPr>
            <w:tcW w:w="6347" w:type="dxa"/>
          </w:tcPr>
          <w:p w14:paraId="73FD4834">
            <w:pPr>
              <w:spacing w:line="420" w:lineRule="exact"/>
              <w:jc w:val="center"/>
              <w:rPr>
                <w:rFonts w:hint="eastAsia" w:ascii="宋体" w:hAnsi="宋体"/>
                <w:b/>
                <w:bCs/>
                <w:sz w:val="24"/>
              </w:rPr>
            </w:pPr>
            <w:r>
              <w:rPr>
                <w:rFonts w:hint="eastAsia" w:ascii="宋体" w:hAnsi="宋体"/>
                <w:b/>
                <w:bCs/>
                <w:sz w:val="24"/>
              </w:rPr>
              <w:t>审议议案</w:t>
            </w:r>
          </w:p>
        </w:tc>
        <w:tc>
          <w:tcPr>
            <w:tcW w:w="1580" w:type="dxa"/>
          </w:tcPr>
          <w:p w14:paraId="56C7D5A5">
            <w:pPr>
              <w:spacing w:line="420" w:lineRule="exact"/>
              <w:jc w:val="center"/>
              <w:rPr>
                <w:rFonts w:hint="eastAsia" w:ascii="宋体" w:hAnsi="宋体"/>
                <w:b/>
                <w:bCs/>
                <w:sz w:val="24"/>
              </w:rPr>
            </w:pPr>
            <w:r>
              <w:rPr>
                <w:rFonts w:hint="eastAsia" w:ascii="宋体" w:hAnsi="宋体"/>
                <w:b/>
                <w:bCs/>
                <w:sz w:val="24"/>
              </w:rPr>
              <w:t>报告人</w:t>
            </w:r>
          </w:p>
        </w:tc>
      </w:tr>
      <w:tr w14:paraId="4B77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tcPr>
          <w:sdt>
            <w:sdtPr>
              <w:rPr>
                <w:sz w:val="24"/>
              </w:rPr>
              <w:alias w:val="审议听取的议案和报告_议案和报告的序号"/>
              <w:tag w:val="_GBC_84546a6090c442c0ac1c3f3ae71734f5"/>
              <w:id w:val="147460218"/>
              <w:lock w:val="sdtLocked"/>
              <w:text/>
            </w:sdtPr>
            <w:sdtEndPr>
              <w:rPr>
                <w:sz w:val="24"/>
              </w:rPr>
            </w:sdtEndPr>
            <w:sdtContent>
              <w:p w14:paraId="072D6F2B">
                <w:pPr>
                  <w:spacing w:line="420" w:lineRule="exact"/>
                  <w:jc w:val="center"/>
                  <w:rPr>
                    <w:rFonts w:hint="eastAsia"/>
                    <w:sz w:val="24"/>
                  </w:rPr>
                </w:pPr>
                <w:r>
                  <w:rPr>
                    <w:sz w:val="24"/>
                  </w:rPr>
                  <w:t>1</w:t>
                </w:r>
              </w:p>
            </w:sdtContent>
          </w:sdt>
        </w:tc>
        <w:tc>
          <w:tcPr>
            <w:tcW w:w="6347" w:type="dxa"/>
          </w:tcPr>
          <w:sdt>
            <w:sdtPr>
              <w:rPr>
                <w:sz w:val="24"/>
              </w:rPr>
              <w:alias w:val="审议听取的议案和报告_议案和报告名称"/>
              <w:tag w:val="_GBC_2d47efd670c5406fafca7da025f5f537"/>
              <w:id w:val="147478280"/>
              <w:lock w:val="sdtLocked"/>
              <w:text/>
            </w:sdtPr>
            <w:sdtEndPr>
              <w:rPr>
                <w:sz w:val="24"/>
              </w:rPr>
            </w:sdtEndPr>
            <w:sdtContent>
              <w:p w14:paraId="45929ABB">
                <w:pPr>
                  <w:spacing w:line="420" w:lineRule="exact"/>
                  <w:rPr>
                    <w:rFonts w:hint="eastAsia"/>
                    <w:sz w:val="24"/>
                  </w:rPr>
                </w:pPr>
                <w:r>
                  <w:rPr>
                    <w:sz w:val="24"/>
                  </w:rPr>
                  <w:t>关于公司2025年度董事会工作报告的议案</w:t>
                </w:r>
              </w:p>
            </w:sdtContent>
          </w:sdt>
        </w:tc>
        <w:tc>
          <w:tcPr>
            <w:tcW w:w="1580" w:type="dxa"/>
          </w:tcPr>
          <w:p w14:paraId="2446CEC7">
            <w:pPr>
              <w:spacing w:line="420" w:lineRule="exact"/>
              <w:jc w:val="center"/>
              <w:rPr>
                <w:rFonts w:hint="eastAsia" w:ascii="宋体" w:hAnsi="宋体"/>
                <w:bCs/>
                <w:sz w:val="24"/>
              </w:rPr>
            </w:pPr>
            <w:r>
              <w:rPr>
                <w:rFonts w:hint="eastAsia" w:ascii="宋体" w:hAnsi="宋体"/>
                <w:bCs/>
                <w:sz w:val="24"/>
              </w:rPr>
              <w:t>唐传勤</w:t>
            </w:r>
          </w:p>
        </w:tc>
      </w:tr>
      <w:tr w14:paraId="0D08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tcPr>
          <w:sdt>
            <w:sdtPr>
              <w:rPr>
                <w:sz w:val="24"/>
              </w:rPr>
              <w:alias w:val="审议听取的议案和报告_议案和报告的序号"/>
              <w:tag w:val="_GBC_84546a6090c442c0ac1c3f3ae71734f5"/>
              <w:id w:val="147462635"/>
              <w:lock w:val="sdtLocked"/>
              <w:text/>
            </w:sdtPr>
            <w:sdtEndPr>
              <w:rPr>
                <w:sz w:val="24"/>
              </w:rPr>
            </w:sdtEndPr>
            <w:sdtContent>
              <w:p w14:paraId="09B77C5C">
                <w:pPr>
                  <w:spacing w:line="420" w:lineRule="exact"/>
                  <w:jc w:val="center"/>
                  <w:rPr>
                    <w:rFonts w:hint="eastAsia"/>
                    <w:sz w:val="24"/>
                  </w:rPr>
                </w:pPr>
                <w:r>
                  <w:rPr>
                    <w:sz w:val="24"/>
                  </w:rPr>
                  <w:t>2</w:t>
                </w:r>
              </w:p>
            </w:sdtContent>
          </w:sdt>
        </w:tc>
        <w:tc>
          <w:tcPr>
            <w:tcW w:w="6347" w:type="dxa"/>
          </w:tcPr>
          <w:sdt>
            <w:sdtPr>
              <w:rPr>
                <w:sz w:val="24"/>
              </w:rPr>
              <w:alias w:val="审议听取的议案和报告_议案和报告名称"/>
              <w:tag w:val="_GBC_2d47efd670c5406fafca7da025f5f537"/>
              <w:id w:val="147473775"/>
              <w:lock w:val="sdtLocked"/>
              <w:text/>
            </w:sdtPr>
            <w:sdtEndPr>
              <w:rPr>
                <w:sz w:val="24"/>
              </w:rPr>
            </w:sdtEndPr>
            <w:sdtContent>
              <w:p w14:paraId="7F931D0C">
                <w:pPr>
                  <w:spacing w:line="420" w:lineRule="exact"/>
                  <w:rPr>
                    <w:rFonts w:hint="eastAsia"/>
                    <w:sz w:val="24"/>
                  </w:rPr>
                </w:pPr>
                <w:r>
                  <w:rPr>
                    <w:sz w:val="24"/>
                  </w:rPr>
                  <w:t>关于公司2025年年度报告的议案</w:t>
                </w:r>
              </w:p>
            </w:sdtContent>
          </w:sdt>
        </w:tc>
        <w:tc>
          <w:tcPr>
            <w:tcW w:w="1580" w:type="dxa"/>
          </w:tcPr>
          <w:p w14:paraId="49CE5E67">
            <w:pPr>
              <w:spacing w:line="420" w:lineRule="exact"/>
              <w:jc w:val="center"/>
              <w:rPr>
                <w:rFonts w:hint="eastAsia" w:ascii="宋体" w:hAnsi="宋体"/>
                <w:bCs/>
                <w:sz w:val="24"/>
              </w:rPr>
            </w:pPr>
            <w:r>
              <w:rPr>
                <w:rFonts w:hint="eastAsia"/>
              </w:rPr>
              <w:t>宋荣超</w:t>
            </w:r>
          </w:p>
        </w:tc>
      </w:tr>
      <w:tr w14:paraId="0095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tcPr>
          <w:sdt>
            <w:sdtPr>
              <w:rPr>
                <w:sz w:val="24"/>
              </w:rPr>
              <w:alias w:val="审议听取的议案和报告_议案和报告的序号"/>
              <w:tag w:val="_GBC_84546a6090c442c0ac1c3f3ae71734f5"/>
              <w:id w:val="147455723"/>
              <w:lock w:val="sdtLocked"/>
              <w:text/>
            </w:sdtPr>
            <w:sdtEndPr>
              <w:rPr>
                <w:sz w:val="24"/>
              </w:rPr>
            </w:sdtEndPr>
            <w:sdtContent>
              <w:p w14:paraId="3330C93B">
                <w:pPr>
                  <w:spacing w:line="420" w:lineRule="exact"/>
                  <w:jc w:val="center"/>
                  <w:rPr>
                    <w:rFonts w:hint="eastAsia"/>
                    <w:sz w:val="24"/>
                  </w:rPr>
                </w:pPr>
                <w:r>
                  <w:rPr>
                    <w:sz w:val="24"/>
                  </w:rPr>
                  <w:t>3</w:t>
                </w:r>
              </w:p>
            </w:sdtContent>
          </w:sdt>
        </w:tc>
        <w:tc>
          <w:tcPr>
            <w:tcW w:w="6347" w:type="dxa"/>
          </w:tcPr>
          <w:sdt>
            <w:sdtPr>
              <w:rPr>
                <w:kern w:val="0"/>
                <w:sz w:val="24"/>
              </w:rPr>
              <w:alias w:val="审议听取的议案和报告_议案和报告名称"/>
              <w:tag w:val="_GBC_2d47efd670c5406fafca7da025f5f537"/>
              <w:id w:val="147461293"/>
              <w:lock w:val="sdtLocked"/>
              <w:text/>
            </w:sdtPr>
            <w:sdtEndPr>
              <w:rPr>
                <w:kern w:val="0"/>
                <w:sz w:val="24"/>
              </w:rPr>
            </w:sdtEndPr>
            <w:sdtContent>
              <w:p w14:paraId="55DA99A5">
                <w:pPr>
                  <w:spacing w:line="420" w:lineRule="exact"/>
                  <w:rPr>
                    <w:rFonts w:hint="eastAsia"/>
                    <w:kern w:val="0"/>
                    <w:sz w:val="24"/>
                  </w:rPr>
                </w:pPr>
                <w:r>
                  <w:rPr>
                    <w:kern w:val="0"/>
                    <w:sz w:val="24"/>
                  </w:rPr>
                  <w:t>关于公司2025年度财务决算报告的议案</w:t>
                </w:r>
              </w:p>
            </w:sdtContent>
          </w:sdt>
        </w:tc>
        <w:tc>
          <w:tcPr>
            <w:tcW w:w="1580" w:type="dxa"/>
          </w:tcPr>
          <w:p w14:paraId="3E453884">
            <w:pPr>
              <w:spacing w:line="420" w:lineRule="exact"/>
              <w:jc w:val="center"/>
              <w:rPr>
                <w:rFonts w:hint="eastAsia" w:ascii="宋体" w:hAnsi="宋体"/>
                <w:bCs/>
                <w:sz w:val="24"/>
              </w:rPr>
            </w:pPr>
            <w:r>
              <w:rPr>
                <w:rFonts w:hint="eastAsia"/>
              </w:rPr>
              <w:t>宋荣超</w:t>
            </w:r>
          </w:p>
        </w:tc>
      </w:tr>
      <w:tr w14:paraId="3D73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tcPr>
          <w:sdt>
            <w:sdtPr>
              <w:rPr>
                <w:sz w:val="24"/>
              </w:rPr>
              <w:alias w:val="审议听取的议案和报告_议案和报告的序号"/>
              <w:tag w:val="_GBC_84546a6090c442c0ac1c3f3ae71734f5"/>
              <w:id w:val="147483099"/>
              <w:lock w:val="sdtLocked"/>
              <w:text/>
            </w:sdtPr>
            <w:sdtEndPr>
              <w:rPr>
                <w:sz w:val="24"/>
              </w:rPr>
            </w:sdtEndPr>
            <w:sdtContent>
              <w:p w14:paraId="143816F3">
                <w:pPr>
                  <w:spacing w:line="420" w:lineRule="exact"/>
                  <w:jc w:val="center"/>
                  <w:rPr>
                    <w:sz w:val="24"/>
                  </w:rPr>
                </w:pPr>
                <w:r>
                  <w:rPr>
                    <w:sz w:val="24"/>
                  </w:rPr>
                  <w:t>4</w:t>
                </w:r>
              </w:p>
            </w:sdtContent>
          </w:sdt>
          <w:p w14:paraId="46D51217">
            <w:pPr>
              <w:rPr>
                <w:sz w:val="24"/>
              </w:rPr>
            </w:pPr>
          </w:p>
        </w:tc>
        <w:tc>
          <w:tcPr>
            <w:tcW w:w="6347" w:type="dxa"/>
          </w:tcPr>
          <w:sdt>
            <w:sdtPr>
              <w:rPr>
                <w:sz w:val="24"/>
              </w:rPr>
              <w:alias w:val="审议听取的议案和报告_议案和报告名称"/>
              <w:tag w:val="_GBC_2d47efd670c5406fafca7da025f5f537"/>
              <w:id w:val="147476421"/>
              <w:lock w:val="sdtLocked"/>
              <w:text/>
            </w:sdtPr>
            <w:sdtEndPr>
              <w:rPr>
                <w:sz w:val="24"/>
              </w:rPr>
            </w:sdtEndPr>
            <w:sdtContent>
              <w:p w14:paraId="32E1B4B3">
                <w:pPr>
                  <w:spacing w:line="420" w:lineRule="exact"/>
                  <w:rPr>
                    <w:rFonts w:hint="eastAsia"/>
                    <w:sz w:val="24"/>
                  </w:rPr>
                </w:pPr>
                <w:r>
                  <w:rPr>
                    <w:sz w:val="24"/>
                  </w:rPr>
                  <w:t>关于公司2025年度独立董事述职报告</w:t>
                </w:r>
              </w:p>
            </w:sdtContent>
          </w:sdt>
        </w:tc>
        <w:tc>
          <w:tcPr>
            <w:tcW w:w="1580" w:type="dxa"/>
          </w:tcPr>
          <w:p w14:paraId="17DE125E">
            <w:pPr>
              <w:spacing w:line="420" w:lineRule="exact"/>
              <w:jc w:val="center"/>
              <w:rPr>
                <w:rFonts w:hint="eastAsia" w:ascii="宋体" w:hAnsi="宋体"/>
                <w:bCs/>
                <w:sz w:val="24"/>
              </w:rPr>
            </w:pPr>
            <w:r>
              <w:rPr>
                <w:rFonts w:hint="eastAsia"/>
              </w:rPr>
              <w:t>孙慧玲、孙晓东、李八方</w:t>
            </w:r>
          </w:p>
        </w:tc>
      </w:tr>
      <w:tr w14:paraId="3095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0" w:type="auto"/>
          </w:tcPr>
          <w:sdt>
            <w:sdtPr>
              <w:rPr>
                <w:sz w:val="24"/>
              </w:rPr>
              <w:alias w:val="审议听取的议案和报告_议案和报告的序号"/>
              <w:tag w:val="_GBC_84546a6090c442c0ac1c3f3ae71734f5"/>
              <w:id w:val="147469113"/>
              <w:lock w:val="sdtLocked"/>
              <w:text/>
            </w:sdtPr>
            <w:sdtEndPr>
              <w:rPr>
                <w:sz w:val="24"/>
              </w:rPr>
            </w:sdtEndPr>
            <w:sdtContent>
              <w:p w14:paraId="0EC5F6FF">
                <w:pPr>
                  <w:spacing w:line="420" w:lineRule="exact"/>
                  <w:jc w:val="center"/>
                  <w:rPr>
                    <w:sz w:val="24"/>
                  </w:rPr>
                </w:pPr>
                <w:r>
                  <w:rPr>
                    <w:sz w:val="24"/>
                  </w:rPr>
                  <w:t>5</w:t>
                </w:r>
              </w:p>
            </w:sdtContent>
          </w:sdt>
          <w:p w14:paraId="5BA143FD">
            <w:pPr>
              <w:rPr>
                <w:sz w:val="24"/>
              </w:rPr>
            </w:pPr>
          </w:p>
        </w:tc>
        <w:tc>
          <w:tcPr>
            <w:tcW w:w="6347" w:type="dxa"/>
          </w:tcPr>
          <w:sdt>
            <w:sdtPr>
              <w:rPr>
                <w:sz w:val="24"/>
              </w:rPr>
              <w:alias w:val="审议听取的议案和报告_议案和报告名称"/>
              <w:tag w:val="_GBC_2d47efd670c5406fafca7da025f5f537"/>
              <w:id w:val="147470482"/>
              <w:lock w:val="sdtLocked"/>
              <w:text/>
            </w:sdtPr>
            <w:sdtEndPr>
              <w:rPr>
                <w:sz w:val="24"/>
              </w:rPr>
            </w:sdtEndPr>
            <w:sdtContent>
              <w:p w14:paraId="0735D4A9">
                <w:pPr>
                  <w:spacing w:line="420" w:lineRule="exact"/>
                  <w:rPr>
                    <w:rFonts w:hint="eastAsia"/>
                    <w:sz w:val="24"/>
                  </w:rPr>
                </w:pPr>
                <w:r>
                  <w:rPr>
                    <w:sz w:val="24"/>
                  </w:rPr>
                  <w:t>关于公司2026-2027年度（至2026年度股东会召开日）授信额度、授信担保条件和贷款授权的议案</w:t>
                </w:r>
              </w:p>
            </w:sdtContent>
          </w:sdt>
        </w:tc>
        <w:tc>
          <w:tcPr>
            <w:tcW w:w="1580" w:type="dxa"/>
          </w:tcPr>
          <w:p w14:paraId="372C1104">
            <w:pPr>
              <w:spacing w:line="420" w:lineRule="exact"/>
              <w:jc w:val="center"/>
              <w:rPr>
                <w:rFonts w:hint="eastAsia" w:ascii="宋体" w:hAnsi="宋体"/>
                <w:bCs/>
                <w:sz w:val="24"/>
              </w:rPr>
            </w:pPr>
            <w:r>
              <w:rPr>
                <w:rFonts w:hint="eastAsia"/>
              </w:rPr>
              <w:t>宋荣超</w:t>
            </w:r>
          </w:p>
        </w:tc>
      </w:tr>
      <w:tr w14:paraId="3005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tcPr>
          <w:sdt>
            <w:sdtPr>
              <w:rPr>
                <w:sz w:val="24"/>
              </w:rPr>
              <w:alias w:val="审议听取的议案和报告_议案和报告的序号"/>
              <w:tag w:val="_GBC_84546a6090c442c0ac1c3f3ae71734f5"/>
              <w:id w:val="147458937"/>
              <w:lock w:val="sdtLocked"/>
              <w:text/>
            </w:sdtPr>
            <w:sdtEndPr>
              <w:rPr>
                <w:sz w:val="24"/>
              </w:rPr>
            </w:sdtEndPr>
            <w:sdtContent>
              <w:p w14:paraId="4AC65A95">
                <w:pPr>
                  <w:spacing w:line="420" w:lineRule="exact"/>
                  <w:jc w:val="center"/>
                  <w:rPr>
                    <w:rFonts w:hint="eastAsia"/>
                    <w:sz w:val="24"/>
                  </w:rPr>
                </w:pPr>
                <w:r>
                  <w:rPr>
                    <w:sz w:val="24"/>
                  </w:rPr>
                  <w:t>6</w:t>
                </w:r>
              </w:p>
            </w:sdtContent>
          </w:sdt>
        </w:tc>
        <w:tc>
          <w:tcPr>
            <w:tcW w:w="6347" w:type="dxa"/>
          </w:tcPr>
          <w:sdt>
            <w:sdtPr>
              <w:rPr>
                <w:sz w:val="24"/>
              </w:rPr>
              <w:alias w:val="审议听取的议案和报告_议案和报告名称"/>
              <w:tag w:val="_GBC_2d47efd670c5406fafca7da025f5f537"/>
              <w:id w:val="147477444"/>
              <w:lock w:val="sdtLocked"/>
              <w:text/>
            </w:sdtPr>
            <w:sdtEndPr>
              <w:rPr>
                <w:sz w:val="24"/>
              </w:rPr>
            </w:sdtEndPr>
            <w:sdtContent>
              <w:p w14:paraId="7C76F785">
                <w:pPr>
                  <w:spacing w:line="420" w:lineRule="exact"/>
                  <w:rPr>
                    <w:rFonts w:hint="eastAsia"/>
                    <w:sz w:val="24"/>
                  </w:rPr>
                </w:pPr>
                <w:r>
                  <w:rPr>
                    <w:sz w:val="24"/>
                  </w:rPr>
                  <w:t>关于公司续聘和信会计师事务所（特殊普通合伙）的议案</w:t>
                </w:r>
              </w:p>
            </w:sdtContent>
          </w:sdt>
        </w:tc>
        <w:tc>
          <w:tcPr>
            <w:tcW w:w="1580" w:type="dxa"/>
          </w:tcPr>
          <w:p w14:paraId="7B02A877">
            <w:pPr>
              <w:spacing w:line="420" w:lineRule="exact"/>
              <w:jc w:val="center"/>
              <w:rPr>
                <w:rFonts w:hint="eastAsia" w:ascii="宋体" w:hAnsi="宋体"/>
                <w:bCs/>
                <w:sz w:val="24"/>
              </w:rPr>
            </w:pPr>
            <w:r>
              <w:rPr>
                <w:rFonts w:hint="eastAsia"/>
              </w:rPr>
              <w:t>宋荣超</w:t>
            </w:r>
          </w:p>
        </w:tc>
      </w:tr>
      <w:tr w14:paraId="7B97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0" w:type="auto"/>
          </w:tcPr>
          <w:sdt>
            <w:sdtPr>
              <w:rPr>
                <w:sz w:val="24"/>
              </w:rPr>
              <w:alias w:val="审议听取的议案和报告_议案和报告的序号"/>
              <w:tag w:val="_GBC_84546a6090c442c0ac1c3f3ae71734f5"/>
              <w:id w:val="147470965"/>
              <w:lock w:val="sdtLocked"/>
            </w:sdtPr>
            <w:sdtEndPr>
              <w:rPr>
                <w:sz w:val="24"/>
              </w:rPr>
            </w:sdtEndPr>
            <w:sdtContent>
              <w:p w14:paraId="06665A20">
                <w:pPr>
                  <w:spacing w:line="420" w:lineRule="exact"/>
                  <w:jc w:val="center"/>
                  <w:rPr>
                    <w:rFonts w:hint="eastAsia"/>
                    <w:sz w:val="24"/>
                  </w:rPr>
                </w:pPr>
                <w:r>
                  <w:rPr>
                    <w:sz w:val="24"/>
                  </w:rPr>
                  <w:t>7</w:t>
                </w:r>
              </w:p>
            </w:sdtContent>
          </w:sdt>
        </w:tc>
        <w:tc>
          <w:tcPr>
            <w:tcW w:w="6347" w:type="dxa"/>
          </w:tcPr>
          <w:sdt>
            <w:sdtPr>
              <w:rPr>
                <w:sz w:val="24"/>
              </w:rPr>
              <w:alias w:val="审议听取的议案和报告_议案和报告名称"/>
              <w:tag w:val="_GBC_2d47efd670c5406fafca7da025f5f537"/>
              <w:id w:val="147455996"/>
              <w:lock w:val="sdtLocked"/>
              <w:text/>
            </w:sdtPr>
            <w:sdtEndPr>
              <w:rPr>
                <w:sz w:val="24"/>
              </w:rPr>
            </w:sdtEndPr>
            <w:sdtContent>
              <w:p w14:paraId="450C1004">
                <w:pPr>
                  <w:spacing w:line="480" w:lineRule="auto"/>
                  <w:jc w:val="left"/>
                  <w:rPr>
                    <w:rFonts w:hint="eastAsia"/>
                    <w:sz w:val="24"/>
                  </w:rPr>
                </w:pPr>
                <w:r>
                  <w:rPr>
                    <w:sz w:val="24"/>
                  </w:rPr>
                  <w:t>关于公司2025年度利润分配方案</w:t>
                </w:r>
              </w:p>
            </w:sdtContent>
          </w:sdt>
        </w:tc>
        <w:tc>
          <w:tcPr>
            <w:tcW w:w="1580" w:type="dxa"/>
          </w:tcPr>
          <w:p w14:paraId="7ACF3E58">
            <w:pPr>
              <w:spacing w:line="420" w:lineRule="exact"/>
              <w:jc w:val="center"/>
              <w:rPr>
                <w:rFonts w:hint="eastAsia" w:ascii="宋体" w:hAnsi="宋体"/>
                <w:bCs/>
                <w:sz w:val="24"/>
              </w:rPr>
            </w:pPr>
            <w:r>
              <w:rPr>
                <w:rFonts w:hint="eastAsia"/>
              </w:rPr>
              <w:t>宋荣超</w:t>
            </w:r>
          </w:p>
        </w:tc>
      </w:tr>
      <w:tr w14:paraId="37CB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tcPr>
          <w:sdt>
            <w:sdtPr>
              <w:rPr>
                <w:sz w:val="24"/>
              </w:rPr>
              <w:alias w:val="审议听取的议案和报告_议案和报告的序号"/>
              <w:tag w:val="_GBC_84546a6090c442c0ac1c3f3ae71734f5"/>
              <w:id w:val="147478950"/>
              <w:lock w:val="sdtLocked"/>
            </w:sdtPr>
            <w:sdtEndPr>
              <w:rPr>
                <w:sz w:val="24"/>
              </w:rPr>
            </w:sdtEndPr>
            <w:sdtContent>
              <w:p w14:paraId="49F076C2">
                <w:pPr>
                  <w:spacing w:line="420" w:lineRule="exact"/>
                  <w:jc w:val="center"/>
                  <w:rPr>
                    <w:rFonts w:hint="eastAsia"/>
                    <w:sz w:val="24"/>
                  </w:rPr>
                </w:pPr>
                <w:r>
                  <w:rPr>
                    <w:sz w:val="24"/>
                  </w:rPr>
                  <w:t>8</w:t>
                </w:r>
              </w:p>
            </w:sdtContent>
          </w:sdt>
        </w:tc>
        <w:tc>
          <w:tcPr>
            <w:tcW w:w="6347" w:type="dxa"/>
          </w:tcPr>
          <w:sdt>
            <w:sdtPr>
              <w:rPr>
                <w:sz w:val="24"/>
              </w:rPr>
              <w:alias w:val="审议听取的议案和报告_议案和报告名称"/>
              <w:tag w:val="_GBC_2d47efd670c5406fafca7da025f5f537"/>
              <w:id w:val="147474615"/>
              <w:lock w:val="sdtLocked"/>
              <w:text/>
            </w:sdtPr>
            <w:sdtEndPr>
              <w:rPr>
                <w:sz w:val="24"/>
              </w:rPr>
            </w:sdtEndPr>
            <w:sdtContent>
              <w:p w14:paraId="508B7F81">
                <w:pPr>
                  <w:spacing w:line="420" w:lineRule="exact"/>
                  <w:rPr>
                    <w:rFonts w:hint="eastAsia"/>
                    <w:sz w:val="24"/>
                  </w:rPr>
                </w:pPr>
                <w:r>
                  <w:rPr>
                    <w:sz w:val="24"/>
                  </w:rPr>
                  <w:t>关于确认董事、高级管理人员2025年度薪酬情况及2026 年度薪酬方案的议案</w:t>
                </w:r>
              </w:p>
            </w:sdtContent>
          </w:sdt>
        </w:tc>
        <w:tc>
          <w:tcPr>
            <w:tcW w:w="1580" w:type="dxa"/>
          </w:tcPr>
          <w:p w14:paraId="12A75095">
            <w:pPr>
              <w:spacing w:line="420" w:lineRule="exact"/>
              <w:jc w:val="center"/>
              <w:rPr>
                <w:rFonts w:hint="eastAsia" w:ascii="宋体" w:hAnsi="宋体"/>
                <w:bCs/>
                <w:sz w:val="24"/>
              </w:rPr>
            </w:pPr>
            <w:r>
              <w:rPr>
                <w:rFonts w:hint="eastAsia"/>
              </w:rPr>
              <w:t>宋荣超</w:t>
            </w:r>
          </w:p>
        </w:tc>
      </w:tr>
      <w:tr w14:paraId="4DAD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tcPr>
          <w:sdt>
            <w:sdtPr>
              <w:rPr>
                <w:sz w:val="24"/>
              </w:rPr>
              <w:alias w:val="审议听取的议案和报告_议案和报告的序号"/>
              <w:tag w:val="_GBC_84546a6090c442c0ac1c3f3ae71734f5"/>
              <w:id w:val="147478248"/>
              <w:lock w:val="sdtLocked"/>
            </w:sdtPr>
            <w:sdtEndPr>
              <w:rPr>
                <w:sz w:val="24"/>
              </w:rPr>
            </w:sdtEndPr>
            <w:sdtContent>
              <w:p w14:paraId="0129C114">
                <w:pPr>
                  <w:spacing w:line="420" w:lineRule="exact"/>
                  <w:jc w:val="center"/>
                  <w:rPr>
                    <w:rFonts w:hint="eastAsia"/>
                    <w:sz w:val="24"/>
                  </w:rPr>
                </w:pPr>
                <w:r>
                  <w:rPr>
                    <w:sz w:val="24"/>
                  </w:rPr>
                  <w:t>9</w:t>
                </w:r>
              </w:p>
            </w:sdtContent>
          </w:sdt>
        </w:tc>
        <w:tc>
          <w:tcPr>
            <w:tcW w:w="6347" w:type="dxa"/>
          </w:tcPr>
          <w:sdt>
            <w:sdtPr>
              <w:rPr>
                <w:sz w:val="24"/>
              </w:rPr>
              <w:alias w:val="审议听取的议案和报告_议案和报告名称"/>
              <w:tag w:val="_GBC_2d47efd670c5406fafca7da025f5f537"/>
              <w:id w:val="147483514"/>
              <w:lock w:val="sdtLocked"/>
              <w:text/>
            </w:sdtPr>
            <w:sdtEndPr>
              <w:rPr>
                <w:sz w:val="24"/>
              </w:rPr>
            </w:sdtEndPr>
            <w:sdtContent>
              <w:p w14:paraId="009CDD0E">
                <w:pPr>
                  <w:spacing w:line="420" w:lineRule="exact"/>
                  <w:rPr>
                    <w:rFonts w:hint="eastAsia"/>
                    <w:sz w:val="24"/>
                  </w:rPr>
                </w:pPr>
                <w:r>
                  <w:rPr>
                    <w:sz w:val="24"/>
                  </w:rPr>
                  <w:t>关于公司董事、高级管理人员薪酬管理制度的议案</w:t>
                </w:r>
              </w:p>
            </w:sdtContent>
          </w:sdt>
        </w:tc>
        <w:tc>
          <w:tcPr>
            <w:tcW w:w="1580" w:type="dxa"/>
          </w:tcPr>
          <w:p w14:paraId="1CD90BF9">
            <w:pPr>
              <w:spacing w:line="420" w:lineRule="exact"/>
              <w:jc w:val="center"/>
              <w:rPr>
                <w:rFonts w:hint="eastAsia" w:ascii="宋体" w:hAnsi="宋体"/>
                <w:bCs/>
                <w:sz w:val="24"/>
              </w:rPr>
            </w:pPr>
            <w:r>
              <w:rPr>
                <w:rFonts w:hint="eastAsia"/>
              </w:rPr>
              <w:t>宋荣超</w:t>
            </w:r>
          </w:p>
        </w:tc>
      </w:tr>
      <w:tr w14:paraId="0312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tcPr>
          <w:sdt>
            <w:sdtPr>
              <w:rPr>
                <w:sz w:val="24"/>
              </w:rPr>
              <w:alias w:val="审议听取的议案和报告_议案和报告的序号"/>
              <w:tag w:val="_GBC_84546a6090c442c0ac1c3f3ae71734f5"/>
              <w:id w:val="147471463"/>
              <w:lock w:val="sdtLocked"/>
            </w:sdtPr>
            <w:sdtEndPr>
              <w:rPr>
                <w:sz w:val="24"/>
              </w:rPr>
            </w:sdtEndPr>
            <w:sdtContent>
              <w:p w14:paraId="608449A5">
                <w:pPr>
                  <w:spacing w:line="420" w:lineRule="exact"/>
                  <w:jc w:val="center"/>
                  <w:rPr>
                    <w:rFonts w:hint="eastAsia"/>
                    <w:sz w:val="24"/>
                  </w:rPr>
                </w:pPr>
                <w:r>
                  <w:rPr>
                    <w:sz w:val="24"/>
                  </w:rPr>
                  <w:t>10</w:t>
                </w:r>
              </w:p>
            </w:sdtContent>
          </w:sdt>
        </w:tc>
        <w:tc>
          <w:tcPr>
            <w:tcW w:w="6347" w:type="dxa"/>
          </w:tcPr>
          <w:sdt>
            <w:sdtPr>
              <w:rPr>
                <w:sz w:val="24"/>
              </w:rPr>
              <w:alias w:val="审议听取的议案和报告_议案和报告名称"/>
              <w:tag w:val="_GBC_2d47efd670c5406fafca7da025f5f537"/>
              <w:id w:val="147454340"/>
              <w:lock w:val="sdtLocked"/>
              <w:text/>
            </w:sdtPr>
            <w:sdtEndPr>
              <w:rPr>
                <w:sz w:val="24"/>
              </w:rPr>
            </w:sdtEndPr>
            <w:sdtContent>
              <w:p w14:paraId="4E0A182E">
                <w:pPr>
                  <w:spacing w:line="420" w:lineRule="exact"/>
                  <w:rPr>
                    <w:sz w:val="24"/>
                  </w:rPr>
                </w:pPr>
                <w:r>
                  <w:rPr>
                    <w:sz w:val="24"/>
                  </w:rPr>
                  <w:t>关于公司拟发行境外债券的议案</w:t>
                </w:r>
              </w:p>
            </w:sdtContent>
          </w:sdt>
        </w:tc>
        <w:tc>
          <w:tcPr>
            <w:tcW w:w="1580" w:type="dxa"/>
          </w:tcPr>
          <w:p w14:paraId="744E835C">
            <w:pPr>
              <w:spacing w:line="420" w:lineRule="exact"/>
              <w:jc w:val="center"/>
              <w:rPr>
                <w:rFonts w:hint="eastAsia" w:ascii="宋体" w:hAnsi="宋体"/>
                <w:bCs/>
                <w:sz w:val="24"/>
              </w:rPr>
            </w:pPr>
            <w:r>
              <w:rPr>
                <w:rFonts w:hint="eastAsia"/>
              </w:rPr>
              <w:t>宋荣超</w:t>
            </w:r>
          </w:p>
        </w:tc>
      </w:tr>
      <w:tr w14:paraId="486B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tcPr>
          <w:sdt>
            <w:sdtPr>
              <w:rPr>
                <w:sz w:val="24"/>
              </w:rPr>
              <w:alias w:val="累积投票主议案_主议案序号"/>
              <w:tag w:val="_GBC_1306b081b30b4cd98bdad7e52baeaee0"/>
              <w:id w:val="147482963"/>
              <w:lock w:val="sdtLocked"/>
            </w:sdtPr>
            <w:sdtEndPr>
              <w:rPr>
                <w:sz w:val="24"/>
              </w:rPr>
            </w:sdtEndPr>
            <w:sdtContent>
              <w:p w14:paraId="6E8726E6">
                <w:pPr>
                  <w:spacing w:line="420" w:lineRule="exact"/>
                  <w:jc w:val="center"/>
                  <w:rPr>
                    <w:rFonts w:hint="eastAsia"/>
                    <w:sz w:val="24"/>
                  </w:rPr>
                </w:pPr>
                <w:r>
                  <w:rPr>
                    <w:sz w:val="24"/>
                  </w:rPr>
                  <w:t>11.00</w:t>
                </w:r>
              </w:p>
            </w:sdtContent>
          </w:sdt>
        </w:tc>
        <w:tc>
          <w:tcPr>
            <w:tcW w:w="6347" w:type="dxa"/>
          </w:tcPr>
          <w:sdt>
            <w:sdtPr>
              <w:rPr>
                <w:bCs/>
                <w:sz w:val="24"/>
              </w:rPr>
              <w:alias w:val="累积投票主议案_主议案名称"/>
              <w:tag w:val="_GBC_3e982bbde5ed474d9ac9f351c4f5f6b5"/>
              <w:id w:val="147472488"/>
              <w:lock w:val="sdtLocked"/>
              <w:text/>
            </w:sdtPr>
            <w:sdtEndPr>
              <w:rPr>
                <w:bCs/>
                <w:sz w:val="24"/>
              </w:rPr>
            </w:sdtEndPr>
            <w:sdtContent>
              <w:p w14:paraId="6CF59AFC">
                <w:pPr>
                  <w:spacing w:line="420" w:lineRule="exact"/>
                  <w:rPr>
                    <w:rFonts w:hint="eastAsia"/>
                    <w:bCs/>
                    <w:sz w:val="24"/>
                  </w:rPr>
                </w:pPr>
                <w:r>
                  <w:rPr>
                    <w:bCs/>
                    <w:sz w:val="24"/>
                  </w:rPr>
                  <w:t>关于选举董事的议案</w:t>
                </w:r>
              </w:p>
            </w:sdtContent>
          </w:sdt>
        </w:tc>
        <w:tc>
          <w:tcPr>
            <w:tcW w:w="1580" w:type="dxa"/>
          </w:tcPr>
          <w:p w14:paraId="2547A3FE">
            <w:pPr>
              <w:spacing w:line="420" w:lineRule="exact"/>
              <w:jc w:val="center"/>
              <w:rPr>
                <w:rFonts w:hint="eastAsia" w:ascii="宋体" w:hAnsi="宋体"/>
                <w:bCs/>
                <w:sz w:val="24"/>
              </w:rPr>
            </w:pPr>
            <w:r>
              <w:rPr>
                <w:rFonts w:hint="eastAsia"/>
              </w:rPr>
              <w:t>宋荣超</w:t>
            </w:r>
          </w:p>
        </w:tc>
      </w:tr>
      <w:tr w14:paraId="228E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tcPr>
          <w:sdt>
            <w:sdtPr>
              <w:rPr>
                <w:sz w:val="24"/>
              </w:rPr>
              <w:alias w:val="累积投票子议案_子议案序号"/>
              <w:tag w:val="_GBC_1325936a3cc14ed6a197c8c5debc2cc4"/>
              <w:id w:val="147473452"/>
              <w:lock w:val="sdtLocked"/>
            </w:sdtPr>
            <w:sdtEndPr>
              <w:rPr>
                <w:sz w:val="24"/>
              </w:rPr>
            </w:sdtEndPr>
            <w:sdtContent>
              <w:p w14:paraId="32B85C14">
                <w:pPr>
                  <w:spacing w:line="420" w:lineRule="exact"/>
                  <w:jc w:val="center"/>
                  <w:rPr>
                    <w:rFonts w:hint="eastAsia"/>
                    <w:sz w:val="24"/>
                  </w:rPr>
                </w:pPr>
                <w:r>
                  <w:rPr>
                    <w:sz w:val="24"/>
                  </w:rPr>
                  <w:t>11.01</w:t>
                </w:r>
              </w:p>
            </w:sdtContent>
          </w:sdt>
        </w:tc>
        <w:tc>
          <w:tcPr>
            <w:tcW w:w="6347" w:type="dxa"/>
          </w:tcPr>
          <w:sdt>
            <w:sdtPr>
              <w:rPr>
                <w:sz w:val="24"/>
                <w:szCs w:val="28"/>
              </w:rPr>
              <w:alias w:val="累积投票子议案_子议案名称"/>
              <w:tag w:val="_GBC_e8c1d75f19c0494a9f871d1a19aa1de8"/>
              <w:id w:val="147475749"/>
              <w:lock w:val="sdtLocked"/>
              <w:text/>
            </w:sdtPr>
            <w:sdtEndPr>
              <w:rPr>
                <w:sz w:val="24"/>
                <w:szCs w:val="28"/>
              </w:rPr>
            </w:sdtEndPr>
            <w:sdtContent>
              <w:p w14:paraId="594DF5AA">
                <w:pPr>
                  <w:spacing w:line="420" w:lineRule="exact"/>
                  <w:rPr>
                    <w:rFonts w:hint="eastAsia"/>
                    <w:sz w:val="24"/>
                    <w:szCs w:val="28"/>
                  </w:rPr>
                </w:pPr>
                <w:r>
                  <w:rPr>
                    <w:sz w:val="24"/>
                    <w:szCs w:val="28"/>
                  </w:rPr>
                  <w:t>唐传勤</w:t>
                </w:r>
              </w:p>
            </w:sdtContent>
          </w:sdt>
        </w:tc>
        <w:tc>
          <w:tcPr>
            <w:tcW w:w="1580" w:type="dxa"/>
          </w:tcPr>
          <w:p w14:paraId="1ED66934">
            <w:pPr>
              <w:spacing w:line="420" w:lineRule="exact"/>
              <w:jc w:val="center"/>
              <w:rPr>
                <w:rFonts w:hint="eastAsia" w:ascii="宋体" w:hAnsi="宋体"/>
                <w:bCs/>
                <w:sz w:val="24"/>
              </w:rPr>
            </w:pPr>
          </w:p>
        </w:tc>
      </w:tr>
      <w:tr w14:paraId="74F7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tcPr>
          <w:sdt>
            <w:sdtPr>
              <w:rPr>
                <w:sz w:val="24"/>
              </w:rPr>
              <w:alias w:val="累积投票子议案_子议案序号"/>
              <w:tag w:val="_GBC_1325936a3cc14ed6a197c8c5debc2cc4"/>
              <w:id w:val="147466107"/>
              <w:lock w:val="sdtLocked"/>
            </w:sdtPr>
            <w:sdtEndPr>
              <w:rPr>
                <w:sz w:val="24"/>
              </w:rPr>
            </w:sdtEndPr>
            <w:sdtContent>
              <w:p w14:paraId="53899259">
                <w:pPr>
                  <w:spacing w:line="420" w:lineRule="exact"/>
                  <w:jc w:val="center"/>
                  <w:rPr>
                    <w:rFonts w:hint="eastAsia"/>
                    <w:sz w:val="24"/>
                  </w:rPr>
                </w:pPr>
                <w:r>
                  <w:rPr>
                    <w:sz w:val="24"/>
                  </w:rPr>
                  <w:t>11.02</w:t>
                </w:r>
              </w:p>
            </w:sdtContent>
          </w:sdt>
        </w:tc>
        <w:tc>
          <w:tcPr>
            <w:tcW w:w="6347" w:type="dxa"/>
          </w:tcPr>
          <w:sdt>
            <w:sdtPr>
              <w:rPr>
                <w:sz w:val="24"/>
              </w:rPr>
              <w:alias w:val="累积投票子议案_子议案名称"/>
              <w:tag w:val="_GBC_e8c1d75f19c0494a9f871d1a19aa1de8"/>
              <w:id w:val="147481225"/>
              <w:lock w:val="sdtLocked"/>
              <w:text/>
            </w:sdtPr>
            <w:sdtEndPr>
              <w:rPr>
                <w:sz w:val="24"/>
              </w:rPr>
            </w:sdtEndPr>
            <w:sdtContent>
              <w:p w14:paraId="6EC081EB">
                <w:pPr>
                  <w:spacing w:line="420" w:lineRule="exact"/>
                  <w:rPr>
                    <w:rFonts w:hint="eastAsia"/>
                    <w:sz w:val="24"/>
                  </w:rPr>
                </w:pPr>
                <w:r>
                  <w:rPr>
                    <w:sz w:val="24"/>
                  </w:rPr>
                  <w:t>唐  骥</w:t>
                </w:r>
              </w:p>
            </w:sdtContent>
          </w:sdt>
        </w:tc>
        <w:tc>
          <w:tcPr>
            <w:tcW w:w="1580" w:type="dxa"/>
          </w:tcPr>
          <w:p w14:paraId="6A4505A9">
            <w:pPr>
              <w:spacing w:line="420" w:lineRule="exact"/>
              <w:jc w:val="center"/>
              <w:rPr>
                <w:rFonts w:hint="eastAsia" w:ascii="宋体" w:hAnsi="宋体"/>
                <w:bCs/>
                <w:sz w:val="24"/>
              </w:rPr>
            </w:pPr>
          </w:p>
        </w:tc>
      </w:tr>
      <w:tr w14:paraId="6B86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tcPr>
          <w:sdt>
            <w:sdtPr>
              <w:rPr>
                <w:sz w:val="24"/>
              </w:rPr>
              <w:alias w:val="累积投票子议案_子议案序号"/>
              <w:tag w:val="_GBC_1325936a3cc14ed6a197c8c5debc2cc4"/>
              <w:id w:val="147461569"/>
              <w:lock w:val="sdtLocked"/>
            </w:sdtPr>
            <w:sdtEndPr>
              <w:rPr>
                <w:sz w:val="24"/>
              </w:rPr>
            </w:sdtEndPr>
            <w:sdtContent>
              <w:p w14:paraId="2A702246">
                <w:pPr>
                  <w:spacing w:line="420" w:lineRule="exact"/>
                  <w:jc w:val="center"/>
                  <w:rPr>
                    <w:rFonts w:hint="eastAsia"/>
                    <w:sz w:val="24"/>
                  </w:rPr>
                </w:pPr>
                <w:r>
                  <w:rPr>
                    <w:sz w:val="24"/>
                  </w:rPr>
                  <w:t>11.03</w:t>
                </w:r>
              </w:p>
            </w:sdtContent>
          </w:sdt>
        </w:tc>
        <w:tc>
          <w:tcPr>
            <w:tcW w:w="6347" w:type="dxa"/>
          </w:tcPr>
          <w:sdt>
            <w:sdtPr>
              <w:rPr>
                <w:sz w:val="24"/>
              </w:rPr>
              <w:alias w:val="累积投票子议案_子议案名称"/>
              <w:tag w:val="_GBC_e8c1d75f19c0494a9f871d1a19aa1de8"/>
              <w:id w:val="147474243"/>
              <w:lock w:val="sdtLocked"/>
              <w:text/>
            </w:sdtPr>
            <w:sdtEndPr>
              <w:rPr>
                <w:sz w:val="24"/>
              </w:rPr>
            </w:sdtEndPr>
            <w:sdtContent>
              <w:p w14:paraId="5E64C67E">
                <w:pPr>
                  <w:spacing w:line="420" w:lineRule="exact"/>
                  <w:rPr>
                    <w:rFonts w:hint="eastAsia"/>
                    <w:sz w:val="24"/>
                  </w:rPr>
                </w:pPr>
                <w:r>
                  <w:rPr>
                    <w:sz w:val="24"/>
                  </w:rPr>
                  <w:t>宋荣超</w:t>
                </w:r>
              </w:p>
            </w:sdtContent>
          </w:sdt>
        </w:tc>
        <w:tc>
          <w:tcPr>
            <w:tcW w:w="1580" w:type="dxa"/>
          </w:tcPr>
          <w:p w14:paraId="5B1FBC45">
            <w:pPr>
              <w:spacing w:line="420" w:lineRule="exact"/>
              <w:jc w:val="center"/>
              <w:rPr>
                <w:rFonts w:hint="eastAsia" w:ascii="宋体" w:hAnsi="宋体"/>
                <w:bCs/>
                <w:sz w:val="24"/>
              </w:rPr>
            </w:pPr>
          </w:p>
        </w:tc>
      </w:tr>
      <w:tr w14:paraId="1BE4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tcPr>
          <w:sdt>
            <w:sdtPr>
              <w:rPr>
                <w:sz w:val="24"/>
              </w:rPr>
              <w:alias w:val="累积投票子议案_子议案序号"/>
              <w:tag w:val="_GBC_1325936a3cc14ed6a197c8c5debc2cc4"/>
              <w:id w:val="147466317"/>
              <w:lock w:val="sdtLocked"/>
            </w:sdtPr>
            <w:sdtEndPr>
              <w:rPr>
                <w:sz w:val="24"/>
              </w:rPr>
            </w:sdtEndPr>
            <w:sdtContent>
              <w:p w14:paraId="37EF364E">
                <w:pPr>
                  <w:spacing w:line="420" w:lineRule="exact"/>
                  <w:jc w:val="center"/>
                  <w:rPr>
                    <w:rFonts w:hint="eastAsia"/>
                    <w:sz w:val="24"/>
                  </w:rPr>
                </w:pPr>
                <w:r>
                  <w:rPr>
                    <w:sz w:val="24"/>
                  </w:rPr>
                  <w:t>11.04</w:t>
                </w:r>
              </w:p>
            </w:sdtContent>
          </w:sdt>
        </w:tc>
        <w:tc>
          <w:tcPr>
            <w:tcW w:w="6347" w:type="dxa"/>
          </w:tcPr>
          <w:sdt>
            <w:sdtPr>
              <w:rPr>
                <w:sz w:val="24"/>
              </w:rPr>
              <w:alias w:val="累积投票子议案_子议案名称"/>
              <w:tag w:val="_GBC_e8c1d75f19c0494a9f871d1a19aa1de8"/>
              <w:id w:val="147480398"/>
              <w:lock w:val="sdtLocked"/>
              <w:text/>
            </w:sdtPr>
            <w:sdtEndPr>
              <w:rPr>
                <w:sz w:val="24"/>
              </w:rPr>
            </w:sdtEndPr>
            <w:sdtContent>
              <w:p w14:paraId="67F52ED6">
                <w:pPr>
                  <w:spacing w:line="420" w:lineRule="exact"/>
                  <w:rPr>
                    <w:rFonts w:hint="eastAsia"/>
                    <w:sz w:val="24"/>
                  </w:rPr>
                </w:pPr>
                <w:r>
                  <w:rPr>
                    <w:sz w:val="24"/>
                  </w:rPr>
                  <w:t>毕见超</w:t>
                </w:r>
              </w:p>
            </w:sdtContent>
          </w:sdt>
        </w:tc>
        <w:tc>
          <w:tcPr>
            <w:tcW w:w="1580" w:type="dxa"/>
          </w:tcPr>
          <w:p w14:paraId="4412AF85">
            <w:pPr>
              <w:spacing w:line="420" w:lineRule="exact"/>
              <w:jc w:val="center"/>
              <w:rPr>
                <w:rFonts w:hint="eastAsia" w:ascii="宋体" w:hAnsi="宋体"/>
                <w:bCs/>
                <w:sz w:val="24"/>
              </w:rPr>
            </w:pPr>
          </w:p>
        </w:tc>
      </w:tr>
      <w:tr w14:paraId="6038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tcPr>
          <w:sdt>
            <w:sdtPr>
              <w:rPr>
                <w:sz w:val="24"/>
              </w:rPr>
              <w:alias w:val="累积投票子议案_子议案序号"/>
              <w:tag w:val="_GBC_1325936a3cc14ed6a197c8c5debc2cc4"/>
              <w:id w:val="147471232"/>
              <w:lock w:val="sdtLocked"/>
            </w:sdtPr>
            <w:sdtEndPr>
              <w:rPr>
                <w:sz w:val="24"/>
              </w:rPr>
            </w:sdtEndPr>
            <w:sdtContent>
              <w:p w14:paraId="4808113A">
                <w:pPr>
                  <w:spacing w:line="420" w:lineRule="exact"/>
                  <w:jc w:val="center"/>
                  <w:rPr>
                    <w:rFonts w:hint="eastAsia"/>
                    <w:sz w:val="24"/>
                  </w:rPr>
                </w:pPr>
                <w:r>
                  <w:rPr>
                    <w:sz w:val="24"/>
                  </w:rPr>
                  <w:t>11.05</w:t>
                </w:r>
              </w:p>
            </w:sdtContent>
          </w:sdt>
        </w:tc>
        <w:tc>
          <w:tcPr>
            <w:tcW w:w="6347" w:type="dxa"/>
          </w:tcPr>
          <w:sdt>
            <w:sdtPr>
              <w:rPr>
                <w:sz w:val="24"/>
              </w:rPr>
              <w:alias w:val="累积投票子议案_子议案名称"/>
              <w:tag w:val="_GBC_e8c1d75f19c0494a9f871d1a19aa1de8"/>
              <w:id w:val="147469468"/>
              <w:lock w:val="sdtLocked"/>
              <w:text/>
            </w:sdtPr>
            <w:sdtEndPr>
              <w:rPr>
                <w:sz w:val="24"/>
              </w:rPr>
            </w:sdtEndPr>
            <w:sdtContent>
              <w:p w14:paraId="53D7948B">
                <w:pPr>
                  <w:spacing w:line="420" w:lineRule="exact"/>
                  <w:rPr>
                    <w:rFonts w:hint="eastAsia"/>
                    <w:sz w:val="24"/>
                  </w:rPr>
                </w:pPr>
                <w:r>
                  <w:rPr>
                    <w:sz w:val="24"/>
                  </w:rPr>
                  <w:t>陈鹏宇</w:t>
                </w:r>
              </w:p>
            </w:sdtContent>
          </w:sdt>
        </w:tc>
        <w:tc>
          <w:tcPr>
            <w:tcW w:w="1580" w:type="dxa"/>
          </w:tcPr>
          <w:p w14:paraId="106A7C87">
            <w:pPr>
              <w:spacing w:line="420" w:lineRule="exact"/>
              <w:jc w:val="center"/>
              <w:rPr>
                <w:rFonts w:hint="eastAsia" w:ascii="宋体" w:hAnsi="宋体"/>
                <w:bCs/>
                <w:sz w:val="24"/>
              </w:rPr>
            </w:pPr>
          </w:p>
        </w:tc>
      </w:tr>
      <w:tr w14:paraId="5D47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tcPr>
          <w:sdt>
            <w:sdtPr>
              <w:rPr>
                <w:sz w:val="24"/>
              </w:rPr>
              <w:alias w:val="累积投票主议案_主议案序号"/>
              <w:tag w:val="_GBC_1306b081b30b4cd98bdad7e52baeaee0"/>
              <w:id w:val="147475187"/>
              <w:lock w:val="sdtLocked"/>
            </w:sdtPr>
            <w:sdtEndPr>
              <w:rPr>
                <w:sz w:val="24"/>
              </w:rPr>
            </w:sdtEndPr>
            <w:sdtContent>
              <w:p w14:paraId="570142DB">
                <w:pPr>
                  <w:spacing w:line="420" w:lineRule="exact"/>
                  <w:jc w:val="center"/>
                  <w:rPr>
                    <w:rFonts w:hint="eastAsia"/>
                    <w:sz w:val="24"/>
                  </w:rPr>
                </w:pPr>
                <w:r>
                  <w:rPr>
                    <w:sz w:val="24"/>
                  </w:rPr>
                  <w:t>12.00</w:t>
                </w:r>
              </w:p>
            </w:sdtContent>
          </w:sdt>
        </w:tc>
        <w:tc>
          <w:tcPr>
            <w:tcW w:w="6347" w:type="dxa"/>
          </w:tcPr>
          <w:sdt>
            <w:sdtPr>
              <w:rPr>
                <w:bCs/>
                <w:sz w:val="24"/>
              </w:rPr>
              <w:alias w:val="累积投票主议案_主议案名称"/>
              <w:tag w:val="_GBC_3e982bbde5ed474d9ac9f351c4f5f6b5"/>
              <w:id w:val="147450919"/>
              <w:lock w:val="sdtLocked"/>
              <w:text/>
            </w:sdtPr>
            <w:sdtEndPr>
              <w:rPr>
                <w:bCs/>
                <w:sz w:val="24"/>
              </w:rPr>
            </w:sdtEndPr>
            <w:sdtContent>
              <w:p w14:paraId="3EA681E6">
                <w:pPr>
                  <w:spacing w:line="420" w:lineRule="exact"/>
                  <w:rPr>
                    <w:rFonts w:hint="eastAsia"/>
                    <w:bCs/>
                    <w:sz w:val="24"/>
                  </w:rPr>
                </w:pPr>
                <w:r>
                  <w:rPr>
                    <w:bCs/>
                    <w:sz w:val="24"/>
                  </w:rPr>
                  <w:t>关于选举独立董事的议案</w:t>
                </w:r>
              </w:p>
            </w:sdtContent>
          </w:sdt>
        </w:tc>
        <w:tc>
          <w:tcPr>
            <w:tcW w:w="1580" w:type="dxa"/>
          </w:tcPr>
          <w:p w14:paraId="14D227A7">
            <w:pPr>
              <w:spacing w:line="420" w:lineRule="exact"/>
              <w:jc w:val="center"/>
              <w:rPr>
                <w:rFonts w:hint="eastAsia" w:ascii="宋体" w:hAnsi="宋体"/>
                <w:bCs/>
                <w:sz w:val="24"/>
              </w:rPr>
            </w:pPr>
            <w:r>
              <w:rPr>
                <w:rFonts w:hint="eastAsia"/>
              </w:rPr>
              <w:t>宋荣超</w:t>
            </w:r>
          </w:p>
        </w:tc>
      </w:tr>
      <w:tr w14:paraId="677C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tcPr>
          <w:sdt>
            <w:sdtPr>
              <w:rPr>
                <w:sz w:val="24"/>
              </w:rPr>
              <w:alias w:val="累积投票子议案_子议案序号"/>
              <w:tag w:val="_GBC_1325936a3cc14ed6a197c8c5debc2cc4"/>
              <w:id w:val="147462823"/>
              <w:lock w:val="sdtLocked"/>
            </w:sdtPr>
            <w:sdtEndPr>
              <w:rPr>
                <w:sz w:val="24"/>
              </w:rPr>
            </w:sdtEndPr>
            <w:sdtContent>
              <w:p w14:paraId="42F1D953">
                <w:pPr>
                  <w:spacing w:line="420" w:lineRule="exact"/>
                  <w:jc w:val="center"/>
                  <w:rPr>
                    <w:rFonts w:hint="eastAsia"/>
                    <w:sz w:val="24"/>
                  </w:rPr>
                </w:pPr>
                <w:r>
                  <w:rPr>
                    <w:sz w:val="24"/>
                  </w:rPr>
                  <w:t>12.01</w:t>
                </w:r>
              </w:p>
            </w:sdtContent>
          </w:sdt>
        </w:tc>
        <w:tc>
          <w:tcPr>
            <w:tcW w:w="6347" w:type="dxa"/>
          </w:tcPr>
          <w:sdt>
            <w:sdtPr>
              <w:rPr>
                <w:sz w:val="24"/>
              </w:rPr>
              <w:alias w:val="累积投票子议案_子议案名称"/>
              <w:tag w:val="_GBC_e8c1d75f19c0494a9f871d1a19aa1de8"/>
              <w:id w:val="147462623"/>
              <w:lock w:val="sdtLocked"/>
              <w:text/>
            </w:sdtPr>
            <w:sdtEndPr>
              <w:rPr>
                <w:sz w:val="24"/>
              </w:rPr>
            </w:sdtEndPr>
            <w:sdtContent>
              <w:p w14:paraId="37B58EEE">
                <w:pPr>
                  <w:spacing w:line="420" w:lineRule="exact"/>
                  <w:rPr>
                    <w:rFonts w:hint="eastAsia"/>
                    <w:sz w:val="24"/>
                  </w:rPr>
                </w:pPr>
                <w:r>
                  <w:rPr>
                    <w:sz w:val="24"/>
                  </w:rPr>
                  <w:t>孙晓东</w:t>
                </w:r>
              </w:p>
            </w:sdtContent>
          </w:sdt>
        </w:tc>
        <w:tc>
          <w:tcPr>
            <w:tcW w:w="1580" w:type="dxa"/>
          </w:tcPr>
          <w:p w14:paraId="4B391235">
            <w:pPr>
              <w:spacing w:line="420" w:lineRule="exact"/>
              <w:jc w:val="center"/>
              <w:rPr>
                <w:rFonts w:hint="eastAsia" w:ascii="宋体" w:hAnsi="宋体"/>
                <w:bCs/>
                <w:sz w:val="24"/>
              </w:rPr>
            </w:pPr>
          </w:p>
        </w:tc>
      </w:tr>
      <w:tr w14:paraId="75A0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tcPr>
          <w:sdt>
            <w:sdtPr>
              <w:rPr>
                <w:sz w:val="24"/>
              </w:rPr>
              <w:alias w:val="累积投票子议案_子议案序号"/>
              <w:tag w:val="_GBC_1325936a3cc14ed6a197c8c5debc2cc4"/>
              <w:id w:val="147454172"/>
              <w:lock w:val="sdtLocked"/>
            </w:sdtPr>
            <w:sdtEndPr>
              <w:rPr>
                <w:sz w:val="24"/>
              </w:rPr>
            </w:sdtEndPr>
            <w:sdtContent>
              <w:p w14:paraId="501C1134">
                <w:pPr>
                  <w:spacing w:line="420" w:lineRule="exact"/>
                  <w:jc w:val="center"/>
                  <w:rPr>
                    <w:rFonts w:hint="eastAsia"/>
                    <w:sz w:val="24"/>
                  </w:rPr>
                </w:pPr>
                <w:r>
                  <w:rPr>
                    <w:sz w:val="24"/>
                  </w:rPr>
                  <w:t>12.02</w:t>
                </w:r>
              </w:p>
            </w:sdtContent>
          </w:sdt>
        </w:tc>
        <w:tc>
          <w:tcPr>
            <w:tcW w:w="6347" w:type="dxa"/>
          </w:tcPr>
          <w:sdt>
            <w:sdtPr>
              <w:rPr>
                <w:sz w:val="24"/>
              </w:rPr>
              <w:alias w:val="累积投票子议案_子议案名称"/>
              <w:tag w:val="_GBC_e8c1d75f19c0494a9f871d1a19aa1de8"/>
              <w:id w:val="147459973"/>
              <w:lock w:val="sdtLocked"/>
              <w:text/>
            </w:sdtPr>
            <w:sdtEndPr>
              <w:rPr>
                <w:sz w:val="24"/>
              </w:rPr>
            </w:sdtEndPr>
            <w:sdtContent>
              <w:p w14:paraId="52BBA065">
                <w:pPr>
                  <w:spacing w:line="420" w:lineRule="exact"/>
                  <w:rPr>
                    <w:rFonts w:hint="eastAsia"/>
                    <w:sz w:val="24"/>
                  </w:rPr>
                </w:pPr>
                <w:r>
                  <w:rPr>
                    <w:sz w:val="24"/>
                  </w:rPr>
                  <w:t>刘  淇</w:t>
                </w:r>
              </w:p>
            </w:sdtContent>
          </w:sdt>
        </w:tc>
        <w:tc>
          <w:tcPr>
            <w:tcW w:w="1580" w:type="dxa"/>
          </w:tcPr>
          <w:p w14:paraId="03051916">
            <w:pPr>
              <w:spacing w:line="420" w:lineRule="exact"/>
              <w:jc w:val="center"/>
              <w:rPr>
                <w:rFonts w:hint="eastAsia" w:ascii="宋体" w:hAnsi="宋体"/>
                <w:bCs/>
                <w:sz w:val="24"/>
              </w:rPr>
            </w:pPr>
          </w:p>
        </w:tc>
      </w:tr>
      <w:tr w14:paraId="2F3A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tcPr>
          <w:sdt>
            <w:sdtPr>
              <w:rPr>
                <w:sz w:val="24"/>
              </w:rPr>
              <w:alias w:val="累积投票子议案_子议案序号"/>
              <w:tag w:val="_GBC_1325936a3cc14ed6a197c8c5debc2cc4"/>
              <w:id w:val="147461112"/>
              <w:lock w:val="sdtLocked"/>
            </w:sdtPr>
            <w:sdtEndPr>
              <w:rPr>
                <w:sz w:val="24"/>
              </w:rPr>
            </w:sdtEndPr>
            <w:sdtContent>
              <w:p w14:paraId="2FF2B7EF">
                <w:pPr>
                  <w:spacing w:line="420" w:lineRule="exact"/>
                  <w:jc w:val="center"/>
                  <w:rPr>
                    <w:rFonts w:hint="eastAsia"/>
                    <w:sz w:val="24"/>
                  </w:rPr>
                </w:pPr>
                <w:r>
                  <w:rPr>
                    <w:sz w:val="24"/>
                  </w:rPr>
                  <w:t>12.03</w:t>
                </w:r>
              </w:p>
            </w:sdtContent>
          </w:sdt>
        </w:tc>
        <w:tc>
          <w:tcPr>
            <w:tcW w:w="6347" w:type="dxa"/>
          </w:tcPr>
          <w:sdt>
            <w:sdtPr>
              <w:rPr>
                <w:sz w:val="24"/>
              </w:rPr>
              <w:alias w:val="累积投票子议案_子议案名称"/>
              <w:tag w:val="_GBC_e8c1d75f19c0494a9f871d1a19aa1de8"/>
              <w:id w:val="147473253"/>
              <w:lock w:val="sdtLocked"/>
              <w:text/>
            </w:sdtPr>
            <w:sdtEndPr>
              <w:rPr>
                <w:sz w:val="24"/>
              </w:rPr>
            </w:sdtEndPr>
            <w:sdtContent>
              <w:p w14:paraId="128C35A7">
                <w:pPr>
                  <w:spacing w:line="420" w:lineRule="exact"/>
                  <w:rPr>
                    <w:rFonts w:hint="eastAsia"/>
                    <w:sz w:val="24"/>
                  </w:rPr>
                </w:pPr>
                <w:r>
                  <w:rPr>
                    <w:sz w:val="24"/>
                  </w:rPr>
                  <w:t>王清印</w:t>
                </w:r>
              </w:p>
            </w:sdtContent>
          </w:sdt>
        </w:tc>
        <w:tc>
          <w:tcPr>
            <w:tcW w:w="1580" w:type="dxa"/>
          </w:tcPr>
          <w:p w14:paraId="27F2F8AC">
            <w:pPr>
              <w:spacing w:line="420" w:lineRule="exact"/>
              <w:jc w:val="center"/>
              <w:rPr>
                <w:rFonts w:hint="eastAsia" w:ascii="宋体" w:hAnsi="宋体"/>
                <w:bCs/>
                <w:sz w:val="24"/>
              </w:rPr>
            </w:pPr>
          </w:p>
        </w:tc>
      </w:tr>
    </w:tbl>
    <w:p w14:paraId="798D6788">
      <w:pPr>
        <w:spacing w:line="400" w:lineRule="exact"/>
        <w:rPr>
          <w:rFonts w:hint="eastAsia" w:ascii="宋体" w:hAnsi="宋体"/>
          <w:bCs/>
          <w:sz w:val="24"/>
        </w:rPr>
      </w:pPr>
    </w:p>
    <w:p w14:paraId="40C9B4A2">
      <w:pPr>
        <w:spacing w:line="400" w:lineRule="exact"/>
        <w:rPr>
          <w:rFonts w:hint="eastAsia" w:ascii="宋体" w:hAnsi="宋体"/>
          <w:bCs/>
          <w:sz w:val="24"/>
        </w:rPr>
      </w:pPr>
      <w:r>
        <w:rPr>
          <w:rFonts w:hint="eastAsia" w:ascii="宋体" w:hAnsi="宋体"/>
          <w:bCs/>
          <w:sz w:val="24"/>
        </w:rPr>
        <w:t>三、宣布到会股东和股东代表人数以及代表股份（宋荣超先生）</w:t>
      </w:r>
    </w:p>
    <w:p w14:paraId="152377CE">
      <w:pPr>
        <w:spacing w:line="400" w:lineRule="exact"/>
        <w:rPr>
          <w:rFonts w:hint="eastAsia" w:ascii="宋体" w:hAnsi="宋体"/>
          <w:sz w:val="24"/>
        </w:rPr>
      </w:pPr>
      <w:r>
        <w:rPr>
          <w:rFonts w:hint="eastAsia" w:ascii="宋体" w:hAnsi="宋体"/>
          <w:bCs/>
          <w:sz w:val="24"/>
        </w:rPr>
        <w:t>四、宣布大会表决和计票、监票办法及计票、监票人名单（宋荣超先生）</w:t>
      </w:r>
    </w:p>
    <w:p w14:paraId="0CB7E238">
      <w:pPr>
        <w:spacing w:line="400" w:lineRule="exact"/>
        <w:rPr>
          <w:rFonts w:hint="eastAsia" w:ascii="宋体" w:hAnsi="宋体"/>
          <w:b/>
          <w:bCs/>
          <w:sz w:val="24"/>
        </w:rPr>
      </w:pPr>
      <w:r>
        <w:rPr>
          <w:rFonts w:hint="eastAsia" w:ascii="宋体" w:hAnsi="宋体"/>
          <w:sz w:val="24"/>
        </w:rPr>
        <w:t>五、回答股东提问，股东</w:t>
      </w:r>
      <w:r>
        <w:rPr>
          <w:rFonts w:hint="eastAsia" w:ascii="宋体" w:hAnsi="宋体"/>
          <w:bCs/>
          <w:sz w:val="24"/>
        </w:rPr>
        <w:t>在每项议案充分讨论后进行投票表决</w:t>
      </w:r>
    </w:p>
    <w:p w14:paraId="056E43A8">
      <w:pPr>
        <w:spacing w:line="400" w:lineRule="exact"/>
        <w:rPr>
          <w:rFonts w:hint="eastAsia" w:ascii="宋体" w:hAnsi="宋体"/>
          <w:sz w:val="24"/>
        </w:rPr>
      </w:pPr>
      <w:r>
        <w:rPr>
          <w:rFonts w:hint="eastAsia" w:ascii="宋体" w:hAnsi="宋体"/>
          <w:sz w:val="24"/>
        </w:rPr>
        <w:t>六、宣布表决结果（总监票人）</w:t>
      </w:r>
    </w:p>
    <w:p w14:paraId="7226382E">
      <w:pPr>
        <w:spacing w:line="400" w:lineRule="exact"/>
        <w:rPr>
          <w:rFonts w:hint="eastAsia" w:ascii="宋体" w:hAnsi="宋体"/>
          <w:sz w:val="24"/>
        </w:rPr>
      </w:pPr>
      <w:r>
        <w:rPr>
          <w:rFonts w:hint="eastAsia" w:ascii="宋体" w:hAnsi="宋体"/>
          <w:sz w:val="24"/>
        </w:rPr>
        <w:t>七、宣读股东会决议（宋荣超先生）</w:t>
      </w:r>
    </w:p>
    <w:p w14:paraId="3F4626BC">
      <w:pPr>
        <w:spacing w:line="400" w:lineRule="exact"/>
        <w:rPr>
          <w:rFonts w:hint="eastAsia" w:ascii="宋体" w:hAnsi="宋体"/>
          <w:sz w:val="24"/>
        </w:rPr>
      </w:pPr>
      <w:r>
        <w:rPr>
          <w:rFonts w:hint="eastAsia" w:ascii="宋体" w:hAnsi="宋体"/>
          <w:sz w:val="24"/>
        </w:rPr>
        <w:t>八、律师宣读本次大会的法律意见书</w:t>
      </w:r>
    </w:p>
    <w:p w14:paraId="0148D50A">
      <w:pPr>
        <w:spacing w:line="400" w:lineRule="exact"/>
        <w:rPr>
          <w:rFonts w:hint="eastAsia" w:ascii="宋体" w:hAnsi="宋体"/>
          <w:bCs/>
          <w:sz w:val="24"/>
        </w:rPr>
      </w:pPr>
      <w:r>
        <w:rPr>
          <w:rFonts w:hint="eastAsia" w:ascii="宋体" w:hAnsi="宋体"/>
          <w:sz w:val="24"/>
        </w:rPr>
        <w:t>九、</w:t>
      </w:r>
      <w:r>
        <w:rPr>
          <w:rFonts w:hint="eastAsia" w:ascii="宋体" w:hAnsi="宋体"/>
          <w:bCs/>
          <w:sz w:val="24"/>
        </w:rPr>
        <w:t>宣布大会闭幕并致闭幕词（唐传勤先生）</w:t>
      </w:r>
    </w:p>
    <w:p w14:paraId="622192D5">
      <w:pPr>
        <w:spacing w:line="400" w:lineRule="exact"/>
        <w:rPr>
          <w:sz w:val="24"/>
        </w:rPr>
      </w:pPr>
    </w:p>
    <w:p w14:paraId="3D0AEA0B">
      <w:pPr>
        <w:spacing w:line="400" w:lineRule="exact"/>
        <w:rPr>
          <w:sz w:val="24"/>
        </w:rPr>
      </w:pPr>
    </w:p>
    <w:p w14:paraId="66C1862E">
      <w:pPr>
        <w:spacing w:line="400" w:lineRule="exact"/>
        <w:rPr>
          <w:sz w:val="24"/>
        </w:rPr>
      </w:pPr>
    </w:p>
    <w:p w14:paraId="294578EA">
      <w:pPr>
        <w:spacing w:line="360" w:lineRule="auto"/>
        <w:jc w:val="right"/>
        <w:rPr>
          <w:sz w:val="24"/>
        </w:rPr>
      </w:pPr>
      <w:r>
        <w:rPr>
          <w:rFonts w:hint="eastAsia"/>
          <w:sz w:val="24"/>
        </w:rPr>
        <w:t xml:space="preserve">                                    山东好当家海洋发展股份有限公司</w:t>
      </w:r>
    </w:p>
    <w:p w14:paraId="693C798E">
      <w:pPr>
        <w:spacing w:line="360" w:lineRule="auto"/>
        <w:jc w:val="right"/>
        <w:rPr>
          <w:sz w:val="24"/>
        </w:rPr>
      </w:pPr>
      <w:r>
        <w:rPr>
          <w:rFonts w:hint="eastAsia"/>
          <w:sz w:val="24"/>
        </w:rPr>
        <w:t>董事会</w:t>
      </w:r>
    </w:p>
    <w:p w14:paraId="5010208A">
      <w:pPr>
        <w:spacing w:line="360" w:lineRule="auto"/>
        <w:jc w:val="right"/>
        <w:rPr>
          <w:rFonts w:hint="eastAsia" w:ascii="宋体" w:hAnsi="宋体"/>
          <w:sz w:val="24"/>
        </w:rPr>
      </w:pPr>
      <w:r>
        <w:rPr>
          <w:rFonts w:hint="eastAsia"/>
          <w:sz w:val="24"/>
        </w:rPr>
        <w:t xml:space="preserve">                        </w:t>
      </w:r>
      <w:r>
        <w:rPr>
          <w:rFonts w:hint="eastAsia" w:ascii="宋体" w:hAnsi="宋体"/>
          <w:sz w:val="24"/>
        </w:rPr>
        <w:t>2026年5月18日</w:t>
      </w:r>
    </w:p>
    <w:p w14:paraId="15BD33D0">
      <w:pPr>
        <w:spacing w:line="360" w:lineRule="auto"/>
        <w:jc w:val="right"/>
        <w:rPr>
          <w:rFonts w:ascii="宋体" w:hAnsi="宋体"/>
          <w:sz w:val="24"/>
        </w:rPr>
      </w:pPr>
    </w:p>
    <w:p w14:paraId="21446C78">
      <w:pPr>
        <w:spacing w:line="360" w:lineRule="auto"/>
        <w:jc w:val="right"/>
        <w:rPr>
          <w:rFonts w:ascii="宋体" w:hAnsi="宋体"/>
          <w:sz w:val="24"/>
        </w:rPr>
      </w:pPr>
    </w:p>
    <w:p w14:paraId="0073083A">
      <w:pPr>
        <w:spacing w:line="360" w:lineRule="auto"/>
        <w:jc w:val="right"/>
        <w:rPr>
          <w:rFonts w:ascii="宋体" w:hAnsi="宋体"/>
          <w:sz w:val="24"/>
        </w:rPr>
      </w:pPr>
    </w:p>
    <w:p w14:paraId="5F62983C">
      <w:pPr>
        <w:spacing w:line="360" w:lineRule="auto"/>
        <w:jc w:val="right"/>
        <w:rPr>
          <w:rFonts w:ascii="宋体" w:hAnsi="宋体"/>
          <w:sz w:val="24"/>
        </w:rPr>
      </w:pPr>
    </w:p>
    <w:p w14:paraId="4AF26019">
      <w:pPr>
        <w:spacing w:line="360" w:lineRule="auto"/>
        <w:jc w:val="right"/>
        <w:rPr>
          <w:rFonts w:ascii="宋体" w:hAnsi="宋体"/>
          <w:sz w:val="24"/>
        </w:rPr>
      </w:pPr>
    </w:p>
    <w:p w14:paraId="4DD57FD9">
      <w:pPr>
        <w:spacing w:line="360" w:lineRule="auto"/>
        <w:jc w:val="right"/>
        <w:rPr>
          <w:rFonts w:ascii="宋体" w:hAnsi="宋体"/>
          <w:sz w:val="24"/>
        </w:rPr>
      </w:pPr>
    </w:p>
    <w:p w14:paraId="34A5C1E3">
      <w:pPr>
        <w:spacing w:line="360" w:lineRule="auto"/>
        <w:jc w:val="right"/>
        <w:rPr>
          <w:rFonts w:ascii="宋体" w:hAnsi="宋体"/>
          <w:sz w:val="24"/>
        </w:rPr>
      </w:pPr>
    </w:p>
    <w:p w14:paraId="249AD22C">
      <w:pPr>
        <w:spacing w:line="360" w:lineRule="auto"/>
        <w:jc w:val="right"/>
        <w:rPr>
          <w:rFonts w:ascii="宋体" w:hAnsi="宋体"/>
          <w:sz w:val="24"/>
        </w:rPr>
      </w:pPr>
    </w:p>
    <w:p w14:paraId="0C59424D">
      <w:pPr>
        <w:spacing w:line="360" w:lineRule="auto"/>
        <w:jc w:val="right"/>
        <w:rPr>
          <w:rFonts w:hint="eastAsia" w:ascii="宋体" w:hAnsi="宋体"/>
          <w:sz w:val="24"/>
        </w:rPr>
      </w:pPr>
    </w:p>
    <w:p w14:paraId="167978B3">
      <w:pPr>
        <w:spacing w:line="360" w:lineRule="auto"/>
        <w:jc w:val="right"/>
        <w:rPr>
          <w:rFonts w:hint="eastAsia" w:ascii="宋体" w:hAnsi="宋体"/>
          <w:sz w:val="24"/>
        </w:rPr>
      </w:pPr>
    </w:p>
    <w:p w14:paraId="4D181F1A">
      <w:pPr>
        <w:ind w:left="5280" w:hanging="5280" w:hangingChars="2200"/>
        <w:rPr>
          <w:rFonts w:hint="eastAsia" w:ascii="宋体" w:hAnsi="宋体"/>
          <w:sz w:val="24"/>
        </w:rPr>
      </w:pPr>
      <w:r>
        <w:rPr>
          <w:rFonts w:hint="eastAsia"/>
          <w:sz w:val="24"/>
        </w:rPr>
        <w:t xml:space="preserve">                                            </w:t>
      </w:r>
      <w:r>
        <w:rPr>
          <w:rFonts w:hint="eastAsia" w:ascii="宋体" w:hAnsi="宋体"/>
          <w:sz w:val="24"/>
        </w:rPr>
        <w:t xml:space="preserve">                           　     </w:t>
      </w:r>
    </w:p>
    <w:p w14:paraId="316E0B80">
      <w:pPr>
        <w:rPr>
          <w:szCs w:val="21"/>
        </w:rPr>
      </w:pPr>
      <w:r>
        <w:rPr>
          <w:rFonts w:hint="eastAsia"/>
          <w:szCs w:val="21"/>
        </w:rPr>
        <w:t>*******************</w:t>
      </w:r>
    </w:p>
    <w:p w14:paraId="65BC0C48">
      <w:pPr>
        <w:spacing w:line="240" w:lineRule="exact"/>
        <w:rPr>
          <w:szCs w:val="21"/>
        </w:rPr>
      </w:pPr>
      <w:r>
        <w:rPr>
          <w:rFonts w:hint="eastAsia"/>
          <w:szCs w:val="21"/>
        </w:rPr>
        <w:t>*</w:t>
      </w:r>
      <w:r>
        <w:rPr>
          <w:rFonts w:ascii="Tahoma" w:hAnsi="Tahoma" w:eastAsia="MS PGothic" w:cs="Tahoma"/>
          <w:szCs w:val="21"/>
        </w:rPr>
        <w:t>20</w:t>
      </w:r>
      <w:r>
        <w:rPr>
          <w:rFonts w:hint="eastAsia" w:ascii="Tahoma" w:hAnsi="Tahoma" w:cs="Tahoma"/>
          <w:szCs w:val="21"/>
        </w:rPr>
        <w:t>25</w:t>
      </w:r>
      <w:r>
        <w:rPr>
          <w:rFonts w:ascii="Tahoma" w:hAnsi="Tahoma" w:eastAsia="MS PGothic" w:cs="Tahoma"/>
          <w:szCs w:val="21"/>
        </w:rPr>
        <w:t>年</w:t>
      </w:r>
      <w:r>
        <w:rPr>
          <w:rFonts w:hint="eastAsia" w:ascii="Tahoma" w:hAnsi="Tahoma" w:cs="Tahoma"/>
          <w:szCs w:val="21"/>
        </w:rPr>
        <w:t>年</w:t>
      </w:r>
      <w:r>
        <w:rPr>
          <w:rFonts w:ascii="Tahoma" w:hAnsi="Tahoma" w:eastAsia="MS PGothic" w:cs="Tahoma"/>
          <w:szCs w:val="21"/>
        </w:rPr>
        <w:t>度股</w:t>
      </w:r>
      <w:r>
        <w:rPr>
          <w:rFonts w:hint="eastAsia" w:ascii="宋体" w:hAnsi="宋体" w:cs="宋体"/>
          <w:szCs w:val="21"/>
        </w:rPr>
        <w:t>东</w:t>
      </w:r>
      <w:r>
        <w:rPr>
          <w:rFonts w:hint="eastAsia" w:ascii="MS PGothic" w:hAnsi="MS PGothic" w:eastAsia="MS PGothic" w:cs="MS PGothic"/>
          <w:szCs w:val="21"/>
        </w:rPr>
        <w:t>会</w:t>
      </w:r>
      <w:r>
        <w:rPr>
          <w:rFonts w:hint="eastAsia"/>
          <w:szCs w:val="21"/>
        </w:rPr>
        <w:t>*</w:t>
      </w:r>
    </w:p>
    <w:p w14:paraId="7A301DBD">
      <w:pPr>
        <w:tabs>
          <w:tab w:val="left" w:pos="1260"/>
          <w:tab w:val="left" w:pos="1800"/>
        </w:tabs>
        <w:spacing w:line="240" w:lineRule="exact"/>
        <w:rPr>
          <w:szCs w:val="21"/>
        </w:rPr>
      </w:pPr>
      <w:r>
        <w:rPr>
          <w:rFonts w:hint="eastAsia"/>
          <w:szCs w:val="21"/>
        </w:rPr>
        <w:t>*</w:t>
      </w:r>
      <w:r>
        <w:rPr>
          <w:rFonts w:hint="eastAsia" w:ascii="黑体" w:eastAsia="黑体"/>
          <w:szCs w:val="21"/>
        </w:rPr>
        <w:t>文   件   之   一</w:t>
      </w:r>
      <w:r>
        <w:rPr>
          <w:rFonts w:hint="eastAsia"/>
          <w:szCs w:val="21"/>
        </w:rPr>
        <w:t>*</w:t>
      </w:r>
    </w:p>
    <w:p w14:paraId="22F1D7F8">
      <w:pPr>
        <w:spacing w:line="240" w:lineRule="exact"/>
        <w:rPr>
          <w:szCs w:val="21"/>
        </w:rPr>
      </w:pPr>
      <w:r>
        <w:rPr>
          <w:rFonts w:hint="eastAsia"/>
          <w:szCs w:val="21"/>
        </w:rPr>
        <w:t>*******************</w:t>
      </w:r>
    </w:p>
    <w:p w14:paraId="32F705C2">
      <w:pPr>
        <w:spacing w:line="360" w:lineRule="auto"/>
        <w:jc w:val="center"/>
        <w:rPr>
          <w:b/>
          <w:sz w:val="32"/>
          <w:szCs w:val="32"/>
        </w:rPr>
      </w:pPr>
      <w:r>
        <w:rPr>
          <w:b/>
          <w:sz w:val="32"/>
          <w:szCs w:val="32"/>
        </w:rPr>
        <w:t>山东好当家海洋发展股份有限公司</w:t>
      </w:r>
    </w:p>
    <w:p w14:paraId="49A4B3F3">
      <w:pPr>
        <w:spacing w:line="360" w:lineRule="auto"/>
        <w:jc w:val="center"/>
        <w:outlineLvl w:val="0"/>
        <w:rPr>
          <w:b/>
          <w:sz w:val="32"/>
          <w:szCs w:val="32"/>
        </w:rPr>
      </w:pPr>
      <w:r>
        <w:rPr>
          <w:b/>
          <w:sz w:val="32"/>
          <w:szCs w:val="32"/>
        </w:rPr>
        <w:t>2025年度董事会工作报告</w:t>
      </w:r>
    </w:p>
    <w:p w14:paraId="4E984E43">
      <w:pPr>
        <w:spacing w:line="360" w:lineRule="auto"/>
        <w:ind w:firstLine="480" w:firstLineChars="200"/>
        <w:rPr>
          <w:sz w:val="24"/>
        </w:rPr>
      </w:pPr>
      <w:r>
        <w:rPr>
          <w:sz w:val="24"/>
        </w:rPr>
        <w:t>2025 年，公司董事会紧紧围绕发展战略与年度经营目标，严格遵循《公司法》《证券法》等法律法规及《公司章程》《董事会议事规则》等制度要求，忠实、勤勉地履行各项法定职责。</w:t>
      </w:r>
    </w:p>
    <w:p w14:paraId="43FF4A24">
      <w:pPr>
        <w:spacing w:line="360" w:lineRule="auto"/>
        <w:ind w:firstLine="480" w:firstLineChars="200"/>
        <w:rPr>
          <w:sz w:val="24"/>
        </w:rPr>
      </w:pPr>
      <w:r>
        <w:rPr>
          <w:sz w:val="24"/>
        </w:rPr>
        <w:t>董事会审慎审议各项议案，高效执行股东会决议，带领全体员工锚定发展方向、狠抓工作落实；持续优化产业结构，创新完善营销模式，主动适应经济发展新常态，积极应对各类风险挑战，不断提升公司治理效能，全力推动各项业务提质增效、稳健运行，保障公司实现持续、规范、高质量发展。</w:t>
      </w:r>
    </w:p>
    <w:p w14:paraId="33CC0CD6">
      <w:pPr>
        <w:spacing w:line="360" w:lineRule="auto"/>
        <w:ind w:firstLine="482" w:firstLineChars="200"/>
        <w:rPr>
          <w:b/>
          <w:bCs/>
          <w:sz w:val="24"/>
        </w:rPr>
      </w:pPr>
      <w:r>
        <w:rPr>
          <w:b/>
          <w:bCs/>
          <w:sz w:val="24"/>
        </w:rPr>
        <w:t>一、2025年工作回顾</w:t>
      </w:r>
    </w:p>
    <w:p w14:paraId="36154BB4">
      <w:pPr>
        <w:spacing w:line="360" w:lineRule="auto"/>
        <w:ind w:firstLine="480" w:firstLineChars="200"/>
        <w:rPr>
          <w:sz w:val="24"/>
        </w:rPr>
      </w:pPr>
      <w:bookmarkStart w:id="2" w:name="OLE_LINK2"/>
      <w:r>
        <w:rPr>
          <w:sz w:val="24"/>
        </w:rPr>
        <w:t xml:space="preserve">2025 年是我国发展进程中极具挑战的一年。面对复杂严峻的外部环境与艰巨繁重的改革发展稳定任务，在党中央坚强领导下，公司董事会与全体干部职工切实增强忧患意识、责任意识和紧迫意识，坚定攻坚克难的信心与决心，积极挖掘有利条件与积极因素，努力变压力为动力、化挑战为机遇。 </w:t>
      </w:r>
    </w:p>
    <w:p w14:paraId="6A0609B0">
      <w:pPr>
        <w:spacing w:line="360" w:lineRule="auto"/>
        <w:ind w:firstLine="480" w:firstLineChars="200"/>
        <w:rPr>
          <w:sz w:val="24"/>
        </w:rPr>
      </w:pPr>
      <w:r>
        <w:rPr>
          <w:sz w:val="24"/>
        </w:rPr>
        <w:t xml:space="preserve">公司紧扣高质量发展时代要求，坚持以实体经济为根基，立足海参产业主导地位，牢牢把握有机全产业链主线，顺应一二三产业融合发展趋势，积极培育新型经营主体。依托刺参良种培育、产地检验、养殖全程监测等关键环节，践行绿色生态养殖理念，创新打造可复制、可推广的现代化海参养殖模式。 </w:t>
      </w:r>
    </w:p>
    <w:p w14:paraId="04AE81DA">
      <w:pPr>
        <w:spacing w:line="360" w:lineRule="auto"/>
        <w:ind w:firstLine="480" w:firstLineChars="200"/>
        <w:rPr>
          <w:sz w:val="24"/>
        </w:rPr>
      </w:pPr>
      <w:r>
        <w:rPr>
          <w:sz w:val="24"/>
        </w:rPr>
        <w:t xml:space="preserve">公司加快构建新发展格局，扎实推动高质量发展，抢抓发展机遇、用足政策条件、深挖增长潜力，持续提升经营业绩，推动企业实现更高质量、更有效率、更可持续发展，充分激发各方干事创业积极性，为经济持续回升向好、行稳致远贡献力量。                        </w:t>
      </w:r>
    </w:p>
    <w:p w14:paraId="35B844AA">
      <w:pPr>
        <w:spacing w:line="360" w:lineRule="auto"/>
        <w:rPr>
          <w:sz w:val="24"/>
        </w:rPr>
      </w:pPr>
      <w:r>
        <w:rPr>
          <w:sz w:val="24"/>
        </w:rPr>
        <w:t>1、坚持党的全面领导，筑牢高质量发展政治根基</w:t>
      </w:r>
    </w:p>
    <w:p w14:paraId="792EF7A2">
      <w:pPr>
        <w:widowControl/>
        <w:spacing w:line="360" w:lineRule="auto"/>
        <w:ind w:firstLine="480" w:firstLineChars="200"/>
        <w:jc w:val="left"/>
        <w:rPr>
          <w:color w:val="000000"/>
          <w:sz w:val="24"/>
        </w:rPr>
      </w:pPr>
      <w:r>
        <w:rPr>
          <w:rFonts w:ascii="宋体" w:hAnsi="宋体" w:cs="宋体"/>
          <w:color w:val="000000"/>
          <w:kern w:val="0"/>
          <w:sz w:val="24"/>
          <w:lang w:bidi="ar"/>
        </w:rPr>
        <w:t>2025 年，公司党委在上级党委坚强领导下，深入学习贯彻习近平新时代中国特色社会主义思想，深刻领悟 “两个确立” 的决定性意义，坚决做到 “两个维护”，坚定走好新时代现代化建设新征程。</w:t>
      </w:r>
    </w:p>
    <w:p w14:paraId="19DF05CE">
      <w:pPr>
        <w:widowControl/>
        <w:spacing w:line="360" w:lineRule="auto"/>
        <w:ind w:firstLine="480" w:firstLineChars="200"/>
        <w:jc w:val="left"/>
        <w:rPr>
          <w:color w:val="000000"/>
          <w:sz w:val="24"/>
        </w:rPr>
      </w:pPr>
      <w:r>
        <w:rPr>
          <w:rFonts w:ascii="宋体" w:hAnsi="宋体" w:cs="宋体"/>
          <w:color w:val="000000"/>
          <w:kern w:val="0"/>
          <w:sz w:val="24"/>
          <w:lang w:bidi="ar"/>
        </w:rPr>
        <w:t>公司坚持党的领导全面融入经营管理各环节，严格落实党建工作责任，规范支部组织生活，常态化开展主题党日活动，大力弘扬 “艰苦奋斗、诚信创业、科学发展、凭海逐梦” 的企业精神，凝聚起共促发展的强大合力。</w:t>
      </w:r>
    </w:p>
    <w:p w14:paraId="1BEE5E5E">
      <w:pPr>
        <w:widowControl/>
        <w:spacing w:line="360" w:lineRule="auto"/>
        <w:ind w:firstLine="480" w:firstLineChars="200"/>
        <w:jc w:val="left"/>
        <w:rPr>
          <w:color w:val="000000"/>
          <w:sz w:val="24"/>
        </w:rPr>
      </w:pPr>
      <w:r>
        <w:rPr>
          <w:rFonts w:ascii="宋体" w:hAnsi="宋体" w:cs="宋体"/>
          <w:color w:val="000000"/>
          <w:kern w:val="0"/>
          <w:sz w:val="24"/>
          <w:lang w:bidi="ar"/>
        </w:rPr>
        <w:t>围绕扩大有效需求、提升经营质效，公司坚持系统谋划、统筹推进，以品牌塑形象、以管理提效能、以人才聚力量，不断强化干部职工责任担当。坚持稳中求进、以进促稳，在攻坚克难中抢抓机遇，在苦干实干中争先创优，着力提升宏观研判、政策执行与经营管理水平，积极维护资本市场稳定，以高质量党建引领企业高质量发展。</w:t>
      </w:r>
    </w:p>
    <w:p w14:paraId="22A70E46">
      <w:pPr>
        <w:spacing w:line="360" w:lineRule="auto"/>
        <w:rPr>
          <w:sz w:val="24"/>
        </w:rPr>
      </w:pPr>
      <w:r>
        <w:rPr>
          <w:sz w:val="24"/>
        </w:rPr>
        <w:t>2、做强海参主导产业，构建现代化全产业链发展体系</w:t>
      </w:r>
    </w:p>
    <w:p w14:paraId="7DDB49E6">
      <w:pPr>
        <w:spacing w:line="360" w:lineRule="auto"/>
        <w:ind w:firstLine="480" w:firstLineChars="200"/>
        <w:rPr>
          <w:sz w:val="24"/>
        </w:rPr>
      </w:pPr>
      <w:r>
        <w:rPr>
          <w:sz w:val="24"/>
        </w:rPr>
        <w:t>2025年，公司以海参产业源头为根基，以全产业链布局为抓手，以创新链赋能为支撑，全力推动海参产业向集约化、集成化、机械化、自动化、信息化方向转型升级。公司坚持从养殖源头抓起，严格落实无公害、零药残、有机化标准，构建从育苗、养殖、加工、销售到终端餐桌的全程可控、全程可追溯体系，全力保障好当家有机刺参品质安全。截至2025年末，公司已建成并投入使用现代化海参育苗车间水体规模达130多万平方米。公司持续优化直营、加盟、互联网+等多元营销模式，深入实施品牌发展战略，引领产业持续健康稳定发展。</w:t>
      </w:r>
    </w:p>
    <w:p w14:paraId="60AEFEC7">
      <w:pPr>
        <w:spacing w:line="360" w:lineRule="auto"/>
        <w:ind w:firstLine="480" w:firstLineChars="200"/>
        <w:rPr>
          <w:sz w:val="24"/>
        </w:rPr>
      </w:pPr>
      <w:r>
        <w:rPr>
          <w:sz w:val="24"/>
        </w:rPr>
        <w:t>经营数据方面，2025年公司实现营业收入 1</w:t>
      </w:r>
      <w:r>
        <w:rPr>
          <w:rFonts w:hint="eastAsia"/>
          <w:sz w:val="24"/>
        </w:rPr>
        <w:t>05</w:t>
      </w:r>
      <w:r>
        <w:rPr>
          <w:sz w:val="24"/>
        </w:rPr>
        <w:t>,</w:t>
      </w:r>
      <w:r>
        <w:rPr>
          <w:rFonts w:hint="eastAsia"/>
          <w:sz w:val="24"/>
        </w:rPr>
        <w:t>130</w:t>
      </w:r>
      <w:r>
        <w:rPr>
          <w:sz w:val="24"/>
        </w:rPr>
        <w:t>.</w:t>
      </w:r>
      <w:r>
        <w:rPr>
          <w:rFonts w:hint="eastAsia"/>
          <w:sz w:val="24"/>
        </w:rPr>
        <w:t>27</w:t>
      </w:r>
      <w:r>
        <w:rPr>
          <w:sz w:val="24"/>
        </w:rPr>
        <w:t xml:space="preserve"> 万元，较上年同期下降 </w:t>
      </w:r>
      <w:r>
        <w:rPr>
          <w:rFonts w:hint="eastAsia"/>
          <w:sz w:val="24"/>
        </w:rPr>
        <w:t>25</w:t>
      </w:r>
      <w:r>
        <w:rPr>
          <w:sz w:val="24"/>
        </w:rPr>
        <w:t>.</w:t>
      </w:r>
      <w:r>
        <w:rPr>
          <w:rFonts w:hint="eastAsia"/>
          <w:sz w:val="24"/>
        </w:rPr>
        <w:t>76</w:t>
      </w:r>
      <w:r>
        <w:rPr>
          <w:sz w:val="24"/>
        </w:rPr>
        <w:t xml:space="preserve">%；实现归属于母公司所有者的净利润 </w:t>
      </w:r>
      <w:r>
        <w:rPr>
          <w:rFonts w:hint="eastAsia"/>
          <w:sz w:val="24"/>
        </w:rPr>
        <w:t>2</w:t>
      </w:r>
      <w:r>
        <w:rPr>
          <w:sz w:val="24"/>
        </w:rPr>
        <w:t>,</w:t>
      </w:r>
      <w:r>
        <w:rPr>
          <w:rFonts w:hint="eastAsia"/>
          <w:sz w:val="24"/>
        </w:rPr>
        <w:t>987</w:t>
      </w:r>
      <w:r>
        <w:rPr>
          <w:sz w:val="24"/>
        </w:rPr>
        <w:t>.</w:t>
      </w:r>
      <w:r>
        <w:rPr>
          <w:rFonts w:hint="eastAsia"/>
          <w:sz w:val="24"/>
        </w:rPr>
        <w:t>23</w:t>
      </w:r>
      <w:r>
        <w:rPr>
          <w:sz w:val="24"/>
        </w:rPr>
        <w:t xml:space="preserve"> 万元，较上年同期下降 </w:t>
      </w:r>
      <w:r>
        <w:rPr>
          <w:rFonts w:hint="eastAsia"/>
          <w:sz w:val="24"/>
        </w:rPr>
        <w:t>31</w:t>
      </w:r>
      <w:r>
        <w:rPr>
          <w:sz w:val="24"/>
        </w:rPr>
        <w:t>.</w:t>
      </w:r>
      <w:r>
        <w:rPr>
          <w:rFonts w:hint="eastAsia"/>
          <w:sz w:val="24"/>
        </w:rPr>
        <w:t>21</w:t>
      </w:r>
      <w:r>
        <w:rPr>
          <w:sz w:val="24"/>
        </w:rPr>
        <w:t xml:space="preserve">%。全年鲜海参累计捕捞量 </w:t>
      </w:r>
      <w:r>
        <w:rPr>
          <w:rFonts w:hint="eastAsia"/>
          <w:sz w:val="24"/>
        </w:rPr>
        <w:t>7</w:t>
      </w:r>
      <w:r>
        <w:rPr>
          <w:sz w:val="24"/>
        </w:rPr>
        <w:t>,</w:t>
      </w:r>
      <w:r>
        <w:rPr>
          <w:rFonts w:hint="eastAsia"/>
          <w:sz w:val="24"/>
        </w:rPr>
        <w:t>448</w:t>
      </w:r>
      <w:r>
        <w:rPr>
          <w:sz w:val="24"/>
        </w:rPr>
        <w:t>.</w:t>
      </w:r>
      <w:r>
        <w:rPr>
          <w:rFonts w:hint="eastAsia"/>
          <w:sz w:val="24"/>
        </w:rPr>
        <w:t>36</w:t>
      </w:r>
      <w:r>
        <w:rPr>
          <w:sz w:val="24"/>
        </w:rPr>
        <w:t xml:space="preserve"> 吨，较上年同期</w:t>
      </w:r>
      <w:r>
        <w:rPr>
          <w:rFonts w:hint="eastAsia"/>
          <w:sz w:val="24"/>
        </w:rPr>
        <w:t>增长</w:t>
      </w:r>
      <w:r>
        <w:rPr>
          <w:sz w:val="24"/>
        </w:rPr>
        <w:t xml:space="preserve"> </w:t>
      </w:r>
      <w:r>
        <w:rPr>
          <w:rFonts w:hint="eastAsia"/>
          <w:sz w:val="24"/>
        </w:rPr>
        <w:t>21</w:t>
      </w:r>
      <w:r>
        <w:rPr>
          <w:sz w:val="24"/>
        </w:rPr>
        <w:t>.</w:t>
      </w:r>
      <w:r>
        <w:rPr>
          <w:rFonts w:hint="eastAsia"/>
          <w:sz w:val="24"/>
        </w:rPr>
        <w:t>90</w:t>
      </w:r>
      <w:r>
        <w:rPr>
          <w:sz w:val="24"/>
        </w:rPr>
        <w:t xml:space="preserve">%，其中对内转海参加工 </w:t>
      </w:r>
      <w:r>
        <w:rPr>
          <w:rFonts w:hint="eastAsia"/>
          <w:sz w:val="24"/>
        </w:rPr>
        <w:t>2</w:t>
      </w:r>
      <w:r>
        <w:rPr>
          <w:sz w:val="24"/>
        </w:rPr>
        <w:t>,</w:t>
      </w:r>
      <w:r>
        <w:rPr>
          <w:rFonts w:hint="eastAsia"/>
          <w:sz w:val="24"/>
        </w:rPr>
        <w:t>857.16</w:t>
      </w:r>
      <w:r>
        <w:rPr>
          <w:sz w:val="24"/>
        </w:rPr>
        <w:t xml:space="preserve"> 吨，对外销售 4,</w:t>
      </w:r>
      <w:r>
        <w:rPr>
          <w:rFonts w:hint="eastAsia"/>
          <w:sz w:val="24"/>
        </w:rPr>
        <w:t>591</w:t>
      </w:r>
      <w:r>
        <w:rPr>
          <w:sz w:val="24"/>
        </w:rPr>
        <w:t>.2</w:t>
      </w:r>
      <w:r>
        <w:rPr>
          <w:rFonts w:hint="eastAsia"/>
          <w:sz w:val="24"/>
        </w:rPr>
        <w:t>0</w:t>
      </w:r>
      <w:r>
        <w:rPr>
          <w:sz w:val="24"/>
        </w:rPr>
        <w:t xml:space="preserve"> 吨；鲜海参年平均对外销售价格 </w:t>
      </w:r>
      <w:r>
        <w:rPr>
          <w:rFonts w:hint="eastAsia"/>
          <w:sz w:val="24"/>
        </w:rPr>
        <w:t>92.08</w:t>
      </w:r>
      <w:r>
        <w:rPr>
          <w:sz w:val="24"/>
        </w:rPr>
        <w:t xml:space="preserve"> 元 / 公斤，较上年同期下降 </w:t>
      </w:r>
      <w:r>
        <w:rPr>
          <w:rFonts w:hint="eastAsia"/>
          <w:sz w:val="24"/>
        </w:rPr>
        <w:t>26.43</w:t>
      </w:r>
      <w:r>
        <w:rPr>
          <w:sz w:val="24"/>
        </w:rPr>
        <w:t>%。2025年12月，好当家海参顺利通过第17年有机食品认证，品牌公信力与市场竞争力持续巩固。</w:t>
      </w:r>
    </w:p>
    <w:p w14:paraId="34710CCF">
      <w:pPr>
        <w:spacing w:line="360" w:lineRule="auto"/>
        <w:rPr>
          <w:sz w:val="24"/>
        </w:rPr>
      </w:pPr>
      <w:r>
        <w:rPr>
          <w:sz w:val="24"/>
        </w:rPr>
        <w:t>3、推动海洋捕捞业转型升级，提升可持续发展能力</w:t>
      </w:r>
    </w:p>
    <w:p w14:paraId="700525FB">
      <w:pPr>
        <w:spacing w:line="360" w:lineRule="auto"/>
        <w:ind w:firstLine="480" w:firstLineChars="200"/>
        <w:rPr>
          <w:sz w:val="24"/>
        </w:rPr>
      </w:pPr>
      <w:r>
        <w:rPr>
          <w:sz w:val="24"/>
        </w:rPr>
        <w:t>海洋捕捞业是公司传统起家产业。公司长期深耕捕捞及配套产业，已形成捕捞、加工、销售一体化经营格局。受渔业资源衰退、捕捞结构失衡、生产成本上升等因素影响，行业可持续发展与市场竞争力面临挑战，行业利润空间收窄，成长压力加大。</w:t>
      </w:r>
    </w:p>
    <w:p w14:paraId="108F04A6">
      <w:pPr>
        <w:spacing w:line="360" w:lineRule="auto"/>
        <w:ind w:firstLine="480" w:firstLineChars="200"/>
        <w:rPr>
          <w:sz w:val="24"/>
        </w:rPr>
      </w:pPr>
      <w:r>
        <w:rPr>
          <w:sz w:val="24"/>
        </w:rPr>
        <w:t>为切实保护近海渔业资源，加快渔业生产结构调整，推动产业高质量发展，公司主动优化调整捕捞业务布局，有序淘汰老旧、低效捕捞渔船及落后产能。持续夯实安全生产管理体系，推进船舶装备优化处置与产业结构转型。未来公司将进一步聚焦水产品精深加工、流通贸易及高附加值业务，优化资源配置，提升核心竞争力与可持续发展能力。</w:t>
      </w:r>
    </w:p>
    <w:p w14:paraId="59B20E86">
      <w:pPr>
        <w:spacing w:line="360" w:lineRule="auto"/>
        <w:rPr>
          <w:sz w:val="24"/>
        </w:rPr>
      </w:pPr>
      <w:r>
        <w:rPr>
          <w:sz w:val="24"/>
        </w:rPr>
        <w:t>4、</w:t>
      </w:r>
      <w:r>
        <w:rPr>
          <w:rFonts w:hint="eastAsia"/>
          <w:sz w:val="24"/>
        </w:rPr>
        <w:t>降本增效</w:t>
      </w:r>
      <w:r>
        <w:rPr>
          <w:sz w:val="24"/>
        </w:rPr>
        <w:t>做优冷冻食品业务，顺应健康消费与市场升级趋势</w:t>
      </w:r>
    </w:p>
    <w:p w14:paraId="1EE409B1">
      <w:pPr>
        <w:widowControl/>
        <w:spacing w:line="360" w:lineRule="auto"/>
        <w:ind w:firstLine="480" w:firstLineChars="200"/>
        <w:jc w:val="left"/>
        <w:rPr>
          <w:sz w:val="24"/>
        </w:rPr>
      </w:pPr>
      <w:r>
        <w:rPr>
          <w:rFonts w:ascii="宋体" w:hAnsi="宋体" w:cs="宋体"/>
          <w:kern w:val="0"/>
          <w:sz w:val="24"/>
          <w:lang w:bidi="ar"/>
        </w:rPr>
        <w:t>报告期内，国际政治经济环境复杂，境外市场竞争加剧；同时国内国民经济稳健发展，居民对健康便捷食品需求增长，为冷冻食品行业带来机遇。公司坚持国内外双市场协同发展，扎实推进各项经营管理工作。</w:t>
      </w:r>
    </w:p>
    <w:p w14:paraId="2D548B11">
      <w:pPr>
        <w:widowControl/>
        <w:spacing w:line="360" w:lineRule="auto"/>
        <w:ind w:firstLine="480" w:firstLineChars="200"/>
        <w:jc w:val="left"/>
        <w:rPr>
          <w:sz w:val="24"/>
        </w:rPr>
      </w:pPr>
      <w:r>
        <w:rPr>
          <w:rFonts w:ascii="宋体" w:hAnsi="宋体" w:cs="宋体"/>
          <w:kern w:val="0"/>
          <w:sz w:val="24"/>
          <w:lang w:bidi="ar"/>
        </w:rPr>
        <w:t>经营管理上，管理层精准研判市场，优化全产业链环节：成本管控通过集中采购、原料深加工及生产自动化改造降低成本、提升效能；市场开拓依托展会、新品研发，稳固存量客户、拓展新增客户，提升市场覆盖。</w:t>
      </w:r>
    </w:p>
    <w:p w14:paraId="1F67D4C2">
      <w:pPr>
        <w:widowControl/>
        <w:spacing w:line="360" w:lineRule="auto"/>
        <w:ind w:firstLine="480" w:firstLineChars="200"/>
        <w:jc w:val="left"/>
        <w:rPr>
          <w:sz w:val="24"/>
        </w:rPr>
      </w:pPr>
      <w:r>
        <w:rPr>
          <w:rFonts w:ascii="宋体" w:hAnsi="宋体" w:cs="宋体"/>
          <w:kern w:val="0"/>
          <w:sz w:val="24"/>
          <w:lang w:bidi="ar"/>
        </w:rPr>
        <w:t>战略层面，公司以品牌建设和质量管控为核心，布局功能性、便捷化及地域特色产品，推动线上线下渠道融合，响应“双碳”战略，推进产业绿色低碳转型。</w:t>
      </w:r>
    </w:p>
    <w:p w14:paraId="6D59D830">
      <w:pPr>
        <w:widowControl/>
        <w:spacing w:line="360" w:lineRule="auto"/>
        <w:ind w:firstLine="480" w:firstLineChars="200"/>
        <w:jc w:val="left"/>
        <w:rPr>
          <w:sz w:val="24"/>
        </w:rPr>
      </w:pPr>
      <w:r>
        <w:rPr>
          <w:rFonts w:ascii="宋体" w:hAnsi="宋体" w:cs="宋体"/>
          <w:kern w:val="0"/>
          <w:sz w:val="24"/>
          <w:lang w:bidi="ar"/>
        </w:rPr>
        <w:t>报告期内，公司加大科创投入、培育创新人才，提升核心竞争力。未来将持续实施“科技兴企”战略，推进技术与管理升级，实现高质量发展，助力食品工业现代化建设。</w:t>
      </w:r>
    </w:p>
    <w:p w14:paraId="2AC78EBE">
      <w:pPr>
        <w:spacing w:line="360" w:lineRule="auto"/>
        <w:rPr>
          <w:sz w:val="24"/>
        </w:rPr>
      </w:pPr>
      <w:bookmarkStart w:id="3" w:name="OLE_LINK1"/>
      <w:r>
        <w:rPr>
          <w:sz w:val="24"/>
        </w:rPr>
        <w:t>5、强化人才队伍与科技创新，夯实核心竞争优势</w:t>
      </w:r>
    </w:p>
    <w:p w14:paraId="44BBD8AE">
      <w:pPr>
        <w:spacing w:line="360" w:lineRule="auto"/>
        <w:ind w:firstLine="480" w:firstLineChars="200"/>
        <w:rPr>
          <w:sz w:val="24"/>
        </w:rPr>
      </w:pPr>
      <w:r>
        <w:rPr>
          <w:sz w:val="24"/>
        </w:rPr>
        <w:t>人才是创新发展的根本，是提升企业核心竞争力的关键支撑。2025 年，公司持续丰富培训形式、拓宽学习渠道，为员工搭建多元化专业技能提升平台，营造勤学善思、团结协作的良好团队文化，不断提高整体工作效率与执行能力。公司着力提升员工专业素养与技术水平，完善人才培养体系，畅通职业发展通道，发掘培育优秀骨干人才，有效破解发展中的人才瓶颈，大力打造与企业战略相匹配的专业化人才队伍。公司持续优化激励约束机制，充分激发员工创新创造活力，加快构建人才资源竞争新优势。</w:t>
      </w:r>
    </w:p>
    <w:p w14:paraId="757453E3">
      <w:pPr>
        <w:spacing w:line="360" w:lineRule="auto"/>
        <w:ind w:firstLine="480" w:firstLineChars="200"/>
        <w:rPr>
          <w:sz w:val="24"/>
        </w:rPr>
      </w:pPr>
      <w:r>
        <w:rPr>
          <w:sz w:val="24"/>
        </w:rPr>
        <w:t>近年来，公司持续加大研发投入，逐步构建起以海洋生命科学院、水产研究所、食品检测中心为支撑的全链条科研创新体系。公司与中国水产科学研究院黄海水产研究所、中国海洋大学、山东省科学院生物研究所、江南大学等多家高等院校及科研机构建立长期稳定的产学研合作关系，为产业升级与技术创新提供坚实支撑。</w:t>
      </w:r>
    </w:p>
    <w:bookmarkEnd w:id="2"/>
    <w:bookmarkEnd w:id="3"/>
    <w:p w14:paraId="0AC33304">
      <w:pPr>
        <w:spacing w:line="360" w:lineRule="auto"/>
        <w:rPr>
          <w:sz w:val="24"/>
        </w:rPr>
      </w:pPr>
      <w:r>
        <w:rPr>
          <w:sz w:val="24"/>
        </w:rPr>
        <w:t>6、董事会规范运作及股东会决议执行情况</w:t>
      </w:r>
    </w:p>
    <w:p w14:paraId="7D88C431">
      <w:pPr>
        <w:spacing w:line="360" w:lineRule="auto"/>
        <w:rPr>
          <w:sz w:val="24"/>
        </w:rPr>
      </w:pPr>
      <w:r>
        <w:rPr>
          <w:sz w:val="24"/>
        </w:rPr>
        <w:t>（一） 董事会召开情况</w:t>
      </w:r>
    </w:p>
    <w:p w14:paraId="02DB7E4C">
      <w:pPr>
        <w:spacing w:line="360" w:lineRule="auto"/>
        <w:ind w:firstLine="480" w:firstLineChars="200"/>
        <w:rPr>
          <w:sz w:val="24"/>
        </w:rPr>
      </w:pPr>
      <w:r>
        <w:rPr>
          <w:sz w:val="24"/>
        </w:rPr>
        <w:t>公司董事会职责清晰、运作规范，全体董事忠实勤勉、认真履职。报告期内，董事会召集、召开程序严格遵守《公司法》《公司章程》《董事会议事规则》等法律法规及内部制度要求，董事选聘程序规范合规。各位董事任职期间勤勉尽责，认真出席董事会会议，熟练掌握相关法律法规要求，依法依规行使权利、履行义务、承担责任，切实维护公司及全体股东合法权益。</w:t>
      </w:r>
    </w:p>
    <w:p w14:paraId="3988CBB4">
      <w:pPr>
        <w:spacing w:line="360" w:lineRule="auto"/>
        <w:rPr>
          <w:sz w:val="24"/>
        </w:rPr>
      </w:pPr>
      <w:r>
        <w:rPr>
          <w:sz w:val="24"/>
        </w:rPr>
        <w:t>报告期内，公司董事会共召开6次会议，具体情况如下：</w:t>
      </w:r>
    </w:p>
    <w:tbl>
      <w:tblPr>
        <w:tblStyle w:val="11"/>
        <w:tblW w:w="5529" w:type="pct"/>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5"/>
        <w:gridCol w:w="1977"/>
        <w:gridCol w:w="5329"/>
      </w:tblGrid>
      <w:tr w14:paraId="2472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sdt>
          <w:sdtPr>
            <w:rPr>
              <w:b/>
              <w:bCs/>
              <w:szCs w:val="21"/>
            </w:rPr>
            <w:tag w:val="_PLD_419815d8d7794e1c9b7ce587c2f61ac6"/>
            <w:id w:val="692502132"/>
          </w:sdtPr>
          <w:sdtEndPr>
            <w:rPr>
              <w:b/>
              <w:bCs/>
              <w:szCs w:val="21"/>
            </w:rPr>
          </w:sdtEndPr>
          <w:sdtContent>
            <w:tc>
              <w:tcPr>
                <w:tcW w:w="1004" w:type="pct"/>
                <w:tcBorders>
                  <w:top w:val="single" w:color="auto" w:sz="4" w:space="0"/>
                  <w:left w:val="single" w:color="auto" w:sz="4" w:space="0"/>
                  <w:bottom w:val="single" w:color="auto" w:sz="4" w:space="0"/>
                  <w:right w:val="single" w:color="auto" w:sz="4" w:space="0"/>
                </w:tcBorders>
                <w:vAlign w:val="center"/>
              </w:tcPr>
              <w:p w14:paraId="4FFB84AB">
                <w:pPr>
                  <w:spacing w:line="360" w:lineRule="auto"/>
                  <w:ind w:firstLine="422" w:firstLineChars="200"/>
                  <w:rPr>
                    <w:b/>
                    <w:bCs/>
                    <w:szCs w:val="21"/>
                  </w:rPr>
                </w:pPr>
                <w:r>
                  <w:rPr>
                    <w:b/>
                    <w:bCs/>
                    <w:szCs w:val="21"/>
                  </w:rPr>
                  <w:t>会议届次</w:t>
                </w:r>
              </w:p>
            </w:tc>
          </w:sdtContent>
        </w:sdt>
        <w:sdt>
          <w:sdtPr>
            <w:rPr>
              <w:b/>
              <w:bCs/>
              <w:szCs w:val="21"/>
            </w:rPr>
            <w:tag w:val="_PLD_ab185594a631433a8b0a8263eb8e554f"/>
            <w:id w:val="-981379744"/>
          </w:sdtPr>
          <w:sdtEndPr>
            <w:rPr>
              <w:b/>
              <w:bCs/>
              <w:szCs w:val="21"/>
            </w:rPr>
          </w:sdtEndPr>
          <w:sdtContent>
            <w:tc>
              <w:tcPr>
                <w:tcW w:w="1081" w:type="pct"/>
                <w:tcBorders>
                  <w:top w:val="single" w:color="auto" w:sz="4" w:space="0"/>
                  <w:left w:val="single" w:color="auto" w:sz="4" w:space="0"/>
                  <w:bottom w:val="single" w:color="auto" w:sz="4" w:space="0"/>
                  <w:right w:val="single" w:color="auto" w:sz="4" w:space="0"/>
                </w:tcBorders>
                <w:vAlign w:val="center"/>
              </w:tcPr>
              <w:p w14:paraId="7F1D8183">
                <w:pPr>
                  <w:spacing w:line="360" w:lineRule="auto"/>
                  <w:ind w:firstLine="422" w:firstLineChars="200"/>
                  <w:rPr>
                    <w:b/>
                    <w:bCs/>
                    <w:szCs w:val="21"/>
                  </w:rPr>
                </w:pPr>
                <w:r>
                  <w:rPr>
                    <w:b/>
                    <w:bCs/>
                    <w:szCs w:val="21"/>
                  </w:rPr>
                  <w:t>召开日期</w:t>
                </w:r>
              </w:p>
            </w:tc>
          </w:sdtContent>
        </w:sdt>
        <w:sdt>
          <w:sdtPr>
            <w:rPr>
              <w:b/>
              <w:bCs/>
              <w:szCs w:val="21"/>
            </w:rPr>
            <w:tag w:val="_PLD_12539db1b22e4f4592d7456feb9f22a6"/>
            <w:id w:val="-1660454527"/>
          </w:sdtPr>
          <w:sdtEndPr>
            <w:rPr>
              <w:b/>
              <w:bCs/>
              <w:szCs w:val="21"/>
            </w:rPr>
          </w:sdtEndPr>
          <w:sdtContent>
            <w:tc>
              <w:tcPr>
                <w:tcW w:w="2914" w:type="pct"/>
                <w:tcBorders>
                  <w:top w:val="single" w:color="auto" w:sz="4" w:space="0"/>
                  <w:left w:val="single" w:color="auto" w:sz="4" w:space="0"/>
                  <w:bottom w:val="single" w:color="auto" w:sz="4" w:space="0"/>
                  <w:right w:val="single" w:color="auto" w:sz="4" w:space="0"/>
                </w:tcBorders>
                <w:vAlign w:val="center"/>
              </w:tcPr>
              <w:p w14:paraId="29FE8649">
                <w:pPr>
                  <w:spacing w:line="360" w:lineRule="auto"/>
                  <w:ind w:firstLine="422" w:firstLineChars="200"/>
                  <w:rPr>
                    <w:b/>
                    <w:bCs/>
                    <w:szCs w:val="21"/>
                  </w:rPr>
                </w:pPr>
                <w:r>
                  <w:rPr>
                    <w:b/>
                    <w:bCs/>
                    <w:szCs w:val="21"/>
                  </w:rPr>
                  <w:t>会议决议</w:t>
                </w:r>
              </w:p>
            </w:tc>
          </w:sdtContent>
        </w:sdt>
      </w:tr>
      <w:tr w14:paraId="348F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004" w:type="pct"/>
            <w:tcBorders>
              <w:top w:val="single" w:color="auto" w:sz="4" w:space="0"/>
              <w:left w:val="single" w:color="auto" w:sz="4" w:space="0"/>
              <w:bottom w:val="single" w:color="auto" w:sz="4" w:space="0"/>
              <w:right w:val="single" w:color="auto" w:sz="4" w:space="0"/>
            </w:tcBorders>
          </w:tcPr>
          <w:p w14:paraId="563B3632">
            <w:pPr>
              <w:spacing w:line="360" w:lineRule="auto"/>
              <w:rPr>
                <w:szCs w:val="21"/>
              </w:rPr>
            </w:pPr>
            <w:r>
              <w:rPr>
                <w:szCs w:val="21"/>
              </w:rPr>
              <w:t>第十一届第九次</w:t>
            </w:r>
          </w:p>
        </w:tc>
        <w:tc>
          <w:tcPr>
            <w:tcW w:w="1081" w:type="pct"/>
            <w:tcBorders>
              <w:top w:val="single" w:color="auto" w:sz="4" w:space="0"/>
              <w:left w:val="single" w:color="auto" w:sz="4" w:space="0"/>
              <w:bottom w:val="single" w:color="auto" w:sz="4" w:space="0"/>
              <w:right w:val="single" w:color="auto" w:sz="4" w:space="0"/>
            </w:tcBorders>
          </w:tcPr>
          <w:p w14:paraId="389B0BBC">
            <w:pPr>
              <w:spacing w:line="360" w:lineRule="auto"/>
              <w:rPr>
                <w:szCs w:val="21"/>
              </w:rPr>
            </w:pPr>
            <w:r>
              <w:rPr>
                <w:szCs w:val="21"/>
              </w:rPr>
              <w:t>2025年4月22日</w:t>
            </w:r>
          </w:p>
        </w:tc>
        <w:tc>
          <w:tcPr>
            <w:tcW w:w="2914" w:type="pct"/>
            <w:tcBorders>
              <w:top w:val="single" w:color="auto" w:sz="4" w:space="0"/>
              <w:left w:val="single" w:color="auto" w:sz="4" w:space="0"/>
              <w:bottom w:val="single" w:color="auto" w:sz="4" w:space="0"/>
              <w:right w:val="single" w:color="auto" w:sz="4" w:space="0"/>
            </w:tcBorders>
          </w:tcPr>
          <w:p w14:paraId="2F1DF088">
            <w:pPr>
              <w:spacing w:line="360" w:lineRule="auto"/>
              <w:rPr>
                <w:szCs w:val="21"/>
              </w:rPr>
            </w:pPr>
            <w:r>
              <w:rPr>
                <w:szCs w:val="21"/>
              </w:rPr>
              <w:t>审议通过：</w:t>
            </w:r>
          </w:p>
          <w:p w14:paraId="2AA164F4">
            <w:pPr>
              <w:spacing w:line="360" w:lineRule="auto"/>
              <w:rPr>
                <w:szCs w:val="21"/>
              </w:rPr>
            </w:pPr>
            <w:r>
              <w:rPr>
                <w:szCs w:val="21"/>
              </w:rPr>
              <w:t>1、关于公司2024年度董事会工作报告</w:t>
            </w:r>
          </w:p>
          <w:p w14:paraId="0CAAAC6D">
            <w:pPr>
              <w:spacing w:line="360" w:lineRule="auto"/>
              <w:rPr>
                <w:szCs w:val="21"/>
              </w:rPr>
            </w:pPr>
            <w:r>
              <w:rPr>
                <w:szCs w:val="21"/>
              </w:rPr>
              <w:t>2、关于公司2024年度财务决算报告</w:t>
            </w:r>
          </w:p>
          <w:p w14:paraId="0AA58587">
            <w:pPr>
              <w:spacing w:line="360" w:lineRule="auto"/>
              <w:rPr>
                <w:szCs w:val="21"/>
              </w:rPr>
            </w:pPr>
            <w:r>
              <w:rPr>
                <w:szCs w:val="21"/>
              </w:rPr>
              <w:t>3、关于公司2024年年度报告及其摘要</w:t>
            </w:r>
          </w:p>
          <w:p w14:paraId="0B003ACD">
            <w:pPr>
              <w:spacing w:line="360" w:lineRule="auto"/>
              <w:rPr>
                <w:szCs w:val="21"/>
              </w:rPr>
            </w:pPr>
            <w:r>
              <w:rPr>
                <w:szCs w:val="21"/>
              </w:rPr>
              <w:t>4、关于公司2025-2026年度（至2025年度股东大会召开日）授信额度、授信担保条件和贷款授权的议案</w:t>
            </w:r>
          </w:p>
          <w:p w14:paraId="22DC8B23">
            <w:pPr>
              <w:spacing w:line="360" w:lineRule="auto"/>
              <w:rPr>
                <w:szCs w:val="21"/>
              </w:rPr>
            </w:pPr>
            <w:r>
              <w:rPr>
                <w:szCs w:val="21"/>
              </w:rPr>
              <w:t>5、关于续聘和信会计师事务所（特殊普通合伙）的议案</w:t>
            </w:r>
          </w:p>
          <w:p w14:paraId="01D28E31">
            <w:pPr>
              <w:spacing w:line="360" w:lineRule="auto"/>
              <w:rPr>
                <w:szCs w:val="21"/>
              </w:rPr>
            </w:pPr>
            <w:r>
              <w:rPr>
                <w:szCs w:val="21"/>
              </w:rPr>
              <w:t>6、关于召开2024年度股东大会的议案</w:t>
            </w:r>
          </w:p>
          <w:p w14:paraId="05A5A46D">
            <w:pPr>
              <w:spacing w:line="360" w:lineRule="auto"/>
              <w:rPr>
                <w:szCs w:val="21"/>
              </w:rPr>
            </w:pPr>
            <w:r>
              <w:rPr>
                <w:szCs w:val="21"/>
              </w:rPr>
              <w:t>7、关于2024年度利润分配方案</w:t>
            </w:r>
          </w:p>
          <w:p w14:paraId="3EA1AD09">
            <w:pPr>
              <w:spacing w:line="360" w:lineRule="auto"/>
              <w:rPr>
                <w:szCs w:val="21"/>
              </w:rPr>
            </w:pPr>
            <w:r>
              <w:rPr>
                <w:szCs w:val="21"/>
              </w:rPr>
              <w:t>8、关于公司2025年度预计关联交易的议案</w:t>
            </w:r>
          </w:p>
          <w:p w14:paraId="5B780F05">
            <w:pPr>
              <w:spacing w:line="360" w:lineRule="auto"/>
              <w:rPr>
                <w:szCs w:val="21"/>
              </w:rPr>
            </w:pPr>
            <w:r>
              <w:rPr>
                <w:szCs w:val="21"/>
              </w:rPr>
              <w:t>9、关于确认董事、高级管理人员2024年度薪酬情况及 2025 年度薪酬方案的议案</w:t>
            </w:r>
          </w:p>
          <w:p w14:paraId="27E51ECA">
            <w:pPr>
              <w:spacing w:line="360" w:lineRule="auto"/>
              <w:rPr>
                <w:szCs w:val="21"/>
              </w:rPr>
            </w:pPr>
            <w:r>
              <w:rPr>
                <w:szCs w:val="21"/>
              </w:rPr>
              <w:t>10、关于董事、副总经理辞职暨补选董事、副总经理及董事会专门委员会委员的议案</w:t>
            </w:r>
          </w:p>
          <w:p w14:paraId="1BDAFB69">
            <w:pPr>
              <w:spacing w:line="360" w:lineRule="auto"/>
              <w:rPr>
                <w:szCs w:val="21"/>
              </w:rPr>
            </w:pPr>
            <w:r>
              <w:rPr>
                <w:szCs w:val="21"/>
              </w:rPr>
              <w:t>11、关于公司2024年度内部控制评价报告</w:t>
            </w:r>
          </w:p>
          <w:p w14:paraId="3AEB9E52">
            <w:pPr>
              <w:spacing w:line="360" w:lineRule="auto"/>
              <w:rPr>
                <w:szCs w:val="21"/>
              </w:rPr>
            </w:pPr>
            <w:r>
              <w:rPr>
                <w:szCs w:val="21"/>
              </w:rPr>
              <w:t>12、关于</w:t>
            </w:r>
            <w:r>
              <w:rPr>
                <w:kern w:val="0"/>
                <w:szCs w:val="21"/>
              </w:rPr>
              <w:t>公司2024年度社会责任报告</w:t>
            </w:r>
          </w:p>
          <w:p w14:paraId="7C258BF3">
            <w:pPr>
              <w:spacing w:line="360" w:lineRule="auto"/>
              <w:rPr>
                <w:szCs w:val="21"/>
              </w:rPr>
            </w:pPr>
            <w:r>
              <w:rPr>
                <w:szCs w:val="21"/>
              </w:rPr>
              <w:t>13、关于2024年度独立董事述职报告</w:t>
            </w:r>
          </w:p>
          <w:p w14:paraId="4776D327">
            <w:pPr>
              <w:spacing w:line="360" w:lineRule="auto"/>
              <w:rPr>
                <w:szCs w:val="21"/>
              </w:rPr>
            </w:pPr>
            <w:r>
              <w:rPr>
                <w:szCs w:val="21"/>
              </w:rPr>
              <w:t>14、关于公司董事会审计委员会2024年度履职情况报告</w:t>
            </w:r>
          </w:p>
        </w:tc>
      </w:tr>
      <w:tr w14:paraId="0592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004" w:type="pct"/>
            <w:tcBorders>
              <w:top w:val="single" w:color="auto" w:sz="4" w:space="0"/>
              <w:left w:val="single" w:color="auto" w:sz="4" w:space="0"/>
              <w:bottom w:val="single" w:color="auto" w:sz="4" w:space="0"/>
              <w:right w:val="single" w:color="auto" w:sz="4" w:space="0"/>
            </w:tcBorders>
          </w:tcPr>
          <w:p w14:paraId="786249E6">
            <w:pPr>
              <w:spacing w:line="360" w:lineRule="auto"/>
              <w:rPr>
                <w:szCs w:val="21"/>
              </w:rPr>
            </w:pPr>
            <w:r>
              <w:rPr>
                <w:szCs w:val="21"/>
              </w:rPr>
              <w:t>第十一届第十次</w:t>
            </w:r>
          </w:p>
        </w:tc>
        <w:tc>
          <w:tcPr>
            <w:tcW w:w="1081" w:type="pct"/>
            <w:tcBorders>
              <w:top w:val="single" w:color="auto" w:sz="4" w:space="0"/>
              <w:left w:val="single" w:color="auto" w:sz="4" w:space="0"/>
              <w:bottom w:val="single" w:color="auto" w:sz="4" w:space="0"/>
              <w:right w:val="single" w:color="auto" w:sz="4" w:space="0"/>
            </w:tcBorders>
          </w:tcPr>
          <w:p w14:paraId="6DB9F077">
            <w:pPr>
              <w:spacing w:line="360" w:lineRule="auto"/>
              <w:rPr>
                <w:szCs w:val="21"/>
              </w:rPr>
            </w:pPr>
            <w:r>
              <w:rPr>
                <w:szCs w:val="21"/>
              </w:rPr>
              <w:t>2025年4月28日</w:t>
            </w:r>
          </w:p>
        </w:tc>
        <w:tc>
          <w:tcPr>
            <w:tcW w:w="2914" w:type="pct"/>
            <w:tcBorders>
              <w:top w:val="single" w:color="auto" w:sz="4" w:space="0"/>
              <w:left w:val="single" w:color="auto" w:sz="4" w:space="0"/>
              <w:bottom w:val="single" w:color="auto" w:sz="4" w:space="0"/>
              <w:right w:val="single" w:color="auto" w:sz="4" w:space="0"/>
            </w:tcBorders>
          </w:tcPr>
          <w:p w14:paraId="114B0570">
            <w:pPr>
              <w:spacing w:line="360" w:lineRule="auto"/>
              <w:rPr>
                <w:szCs w:val="21"/>
              </w:rPr>
            </w:pPr>
            <w:r>
              <w:rPr>
                <w:szCs w:val="21"/>
              </w:rPr>
              <w:t>审议通过：</w:t>
            </w:r>
          </w:p>
          <w:p w14:paraId="061C4513">
            <w:pPr>
              <w:spacing w:line="360" w:lineRule="auto"/>
              <w:rPr>
                <w:szCs w:val="21"/>
              </w:rPr>
            </w:pPr>
            <w:r>
              <w:rPr>
                <w:szCs w:val="21"/>
              </w:rPr>
              <w:t>关于公司2025年第一季度报告的议案</w:t>
            </w:r>
          </w:p>
        </w:tc>
      </w:tr>
      <w:tr w14:paraId="6559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004" w:type="pct"/>
            <w:tcBorders>
              <w:top w:val="single" w:color="auto" w:sz="4" w:space="0"/>
              <w:left w:val="single" w:color="auto" w:sz="4" w:space="0"/>
              <w:bottom w:val="single" w:color="auto" w:sz="4" w:space="0"/>
              <w:right w:val="single" w:color="auto" w:sz="4" w:space="0"/>
            </w:tcBorders>
          </w:tcPr>
          <w:p w14:paraId="65A678A8">
            <w:pPr>
              <w:spacing w:line="360" w:lineRule="auto"/>
              <w:rPr>
                <w:szCs w:val="21"/>
              </w:rPr>
            </w:pPr>
            <w:r>
              <w:rPr>
                <w:szCs w:val="21"/>
              </w:rPr>
              <w:t>第十一届第十一次</w:t>
            </w:r>
          </w:p>
        </w:tc>
        <w:tc>
          <w:tcPr>
            <w:tcW w:w="1081" w:type="pct"/>
            <w:tcBorders>
              <w:top w:val="single" w:color="auto" w:sz="4" w:space="0"/>
              <w:left w:val="single" w:color="auto" w:sz="4" w:space="0"/>
              <w:bottom w:val="single" w:color="auto" w:sz="4" w:space="0"/>
              <w:right w:val="single" w:color="auto" w:sz="4" w:space="0"/>
            </w:tcBorders>
          </w:tcPr>
          <w:p w14:paraId="3E6FB786">
            <w:pPr>
              <w:spacing w:line="360" w:lineRule="auto"/>
              <w:rPr>
                <w:szCs w:val="21"/>
              </w:rPr>
            </w:pPr>
            <w:bookmarkStart w:id="4" w:name="OLE_LINK10"/>
            <w:r>
              <w:rPr>
                <w:szCs w:val="21"/>
              </w:rPr>
              <w:t>2025年8月26日</w:t>
            </w:r>
            <w:bookmarkEnd w:id="4"/>
          </w:p>
        </w:tc>
        <w:tc>
          <w:tcPr>
            <w:tcW w:w="2914" w:type="pct"/>
            <w:tcBorders>
              <w:top w:val="single" w:color="auto" w:sz="4" w:space="0"/>
              <w:left w:val="single" w:color="auto" w:sz="4" w:space="0"/>
              <w:bottom w:val="single" w:color="auto" w:sz="4" w:space="0"/>
              <w:right w:val="single" w:color="auto" w:sz="4" w:space="0"/>
            </w:tcBorders>
          </w:tcPr>
          <w:p w14:paraId="5EE05822">
            <w:pPr>
              <w:spacing w:line="360" w:lineRule="auto"/>
              <w:rPr>
                <w:szCs w:val="21"/>
              </w:rPr>
            </w:pPr>
            <w:r>
              <w:rPr>
                <w:szCs w:val="21"/>
              </w:rPr>
              <w:t>审议通过：</w:t>
            </w:r>
          </w:p>
          <w:p w14:paraId="5FA202FE">
            <w:pPr>
              <w:spacing w:line="360" w:lineRule="auto"/>
              <w:rPr>
                <w:bCs/>
                <w:szCs w:val="21"/>
              </w:rPr>
            </w:pPr>
            <w:r>
              <w:rPr>
                <w:bCs/>
                <w:szCs w:val="21"/>
              </w:rPr>
              <w:t>关于公司2025年半年度报告的议案</w:t>
            </w:r>
          </w:p>
        </w:tc>
      </w:tr>
      <w:tr w14:paraId="7491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004" w:type="pct"/>
            <w:tcBorders>
              <w:top w:val="single" w:color="auto" w:sz="4" w:space="0"/>
              <w:left w:val="single" w:color="auto" w:sz="4" w:space="0"/>
              <w:bottom w:val="single" w:color="auto" w:sz="4" w:space="0"/>
              <w:right w:val="single" w:color="auto" w:sz="4" w:space="0"/>
            </w:tcBorders>
          </w:tcPr>
          <w:p w14:paraId="3A758428">
            <w:pPr>
              <w:spacing w:line="360" w:lineRule="auto"/>
              <w:rPr>
                <w:szCs w:val="21"/>
              </w:rPr>
            </w:pPr>
            <w:r>
              <w:rPr>
                <w:szCs w:val="21"/>
              </w:rPr>
              <w:t>第十一届第十二次</w:t>
            </w:r>
          </w:p>
        </w:tc>
        <w:tc>
          <w:tcPr>
            <w:tcW w:w="1081" w:type="pct"/>
            <w:tcBorders>
              <w:top w:val="single" w:color="auto" w:sz="4" w:space="0"/>
              <w:left w:val="single" w:color="auto" w:sz="4" w:space="0"/>
              <w:bottom w:val="single" w:color="auto" w:sz="4" w:space="0"/>
              <w:right w:val="single" w:color="auto" w:sz="4" w:space="0"/>
            </w:tcBorders>
          </w:tcPr>
          <w:p w14:paraId="495BC9AC">
            <w:pPr>
              <w:spacing w:line="360" w:lineRule="auto"/>
              <w:rPr>
                <w:szCs w:val="21"/>
              </w:rPr>
            </w:pPr>
            <w:r>
              <w:rPr>
                <w:szCs w:val="21"/>
              </w:rPr>
              <w:t>2025年10月13日</w:t>
            </w:r>
          </w:p>
        </w:tc>
        <w:tc>
          <w:tcPr>
            <w:tcW w:w="2914" w:type="pct"/>
            <w:tcBorders>
              <w:top w:val="single" w:color="auto" w:sz="4" w:space="0"/>
              <w:left w:val="single" w:color="auto" w:sz="4" w:space="0"/>
              <w:bottom w:val="single" w:color="auto" w:sz="4" w:space="0"/>
              <w:right w:val="single" w:color="auto" w:sz="4" w:space="0"/>
            </w:tcBorders>
          </w:tcPr>
          <w:p w14:paraId="6154AED6">
            <w:pPr>
              <w:spacing w:line="360" w:lineRule="auto"/>
              <w:rPr>
                <w:szCs w:val="21"/>
              </w:rPr>
            </w:pPr>
            <w:r>
              <w:rPr>
                <w:szCs w:val="21"/>
              </w:rPr>
              <w:t>审议通过：</w:t>
            </w:r>
          </w:p>
          <w:p w14:paraId="08C44267">
            <w:pPr>
              <w:numPr>
                <w:ilvl w:val="0"/>
                <w:numId w:val="1"/>
              </w:numPr>
              <w:spacing w:line="360" w:lineRule="auto"/>
              <w:rPr>
                <w:bCs/>
                <w:szCs w:val="21"/>
              </w:rPr>
            </w:pPr>
            <w:r>
              <w:rPr>
                <w:bCs/>
                <w:szCs w:val="21"/>
              </w:rPr>
              <w:t>公司取消监事会暨修改《公司章程》的议案</w:t>
            </w:r>
          </w:p>
          <w:p w14:paraId="6C342A27">
            <w:pPr>
              <w:numPr>
                <w:ilvl w:val="0"/>
                <w:numId w:val="1"/>
              </w:numPr>
              <w:spacing w:line="360" w:lineRule="auto"/>
              <w:rPr>
                <w:bCs/>
                <w:szCs w:val="21"/>
              </w:rPr>
            </w:pPr>
            <w:r>
              <w:rPr>
                <w:bCs/>
                <w:szCs w:val="21"/>
              </w:rPr>
              <w:t>公司关于修改《股东会议事规则》的议案</w:t>
            </w:r>
          </w:p>
          <w:p w14:paraId="284217F9">
            <w:pPr>
              <w:numPr>
                <w:ilvl w:val="0"/>
                <w:numId w:val="1"/>
              </w:numPr>
              <w:spacing w:line="360" w:lineRule="auto"/>
              <w:rPr>
                <w:bCs/>
                <w:szCs w:val="21"/>
              </w:rPr>
            </w:pPr>
            <w:r>
              <w:rPr>
                <w:bCs/>
                <w:szCs w:val="21"/>
              </w:rPr>
              <w:t>公司关于修改《董事会议事规则》的议案</w:t>
            </w:r>
          </w:p>
          <w:p w14:paraId="0A9E8467">
            <w:pPr>
              <w:numPr>
                <w:ilvl w:val="0"/>
                <w:numId w:val="1"/>
              </w:numPr>
              <w:spacing w:line="360" w:lineRule="auto"/>
              <w:rPr>
                <w:bCs/>
                <w:szCs w:val="21"/>
              </w:rPr>
            </w:pPr>
            <w:r>
              <w:rPr>
                <w:bCs/>
                <w:szCs w:val="21"/>
              </w:rPr>
              <w:t>公司关于修改《审计委员会实施细则》的议案</w:t>
            </w:r>
          </w:p>
          <w:p w14:paraId="7E4A07D4">
            <w:pPr>
              <w:numPr>
                <w:ilvl w:val="0"/>
                <w:numId w:val="1"/>
              </w:numPr>
              <w:spacing w:line="360" w:lineRule="auto"/>
              <w:rPr>
                <w:bCs/>
                <w:szCs w:val="21"/>
              </w:rPr>
            </w:pPr>
            <w:r>
              <w:rPr>
                <w:bCs/>
                <w:szCs w:val="21"/>
              </w:rPr>
              <w:t>公司关于修改《对外担保管理制度》的议案</w:t>
            </w:r>
          </w:p>
          <w:p w14:paraId="791B5ADB">
            <w:pPr>
              <w:numPr>
                <w:ilvl w:val="0"/>
                <w:numId w:val="1"/>
              </w:numPr>
              <w:spacing w:line="360" w:lineRule="auto"/>
              <w:rPr>
                <w:bCs/>
                <w:szCs w:val="21"/>
              </w:rPr>
            </w:pPr>
            <w:r>
              <w:rPr>
                <w:bCs/>
                <w:szCs w:val="21"/>
              </w:rPr>
              <w:t>公司关于修改《关联交易决策制度》的议案</w:t>
            </w:r>
          </w:p>
          <w:p w14:paraId="297973BA">
            <w:pPr>
              <w:numPr>
                <w:ilvl w:val="0"/>
                <w:numId w:val="1"/>
              </w:numPr>
              <w:spacing w:line="360" w:lineRule="auto"/>
              <w:rPr>
                <w:bCs/>
                <w:szCs w:val="21"/>
              </w:rPr>
            </w:pPr>
            <w:r>
              <w:rPr>
                <w:bCs/>
                <w:szCs w:val="21"/>
              </w:rPr>
              <w:t>公司关于修改《独立董事工作制度》的议案</w:t>
            </w:r>
          </w:p>
          <w:p w14:paraId="33597D43">
            <w:pPr>
              <w:numPr>
                <w:ilvl w:val="0"/>
                <w:numId w:val="1"/>
              </w:numPr>
              <w:spacing w:line="360" w:lineRule="auto"/>
              <w:rPr>
                <w:bCs/>
                <w:szCs w:val="21"/>
              </w:rPr>
            </w:pPr>
            <w:r>
              <w:rPr>
                <w:bCs/>
                <w:szCs w:val="21"/>
              </w:rPr>
              <w:t>公司关于修改《提名委员会实施细则》的议案</w:t>
            </w:r>
          </w:p>
          <w:p w14:paraId="0B275340">
            <w:pPr>
              <w:numPr>
                <w:ilvl w:val="0"/>
                <w:numId w:val="1"/>
              </w:numPr>
              <w:spacing w:line="360" w:lineRule="auto"/>
              <w:rPr>
                <w:bCs/>
                <w:szCs w:val="21"/>
              </w:rPr>
            </w:pPr>
            <w:r>
              <w:rPr>
                <w:bCs/>
                <w:szCs w:val="21"/>
              </w:rPr>
              <w:t>公司关于修改</w:t>
            </w:r>
            <w:bookmarkStart w:id="5" w:name="_Hlk210812147"/>
            <w:r>
              <w:rPr>
                <w:bCs/>
                <w:szCs w:val="21"/>
              </w:rPr>
              <w:t>《薪酬与考核委员会实施细则</w:t>
            </w:r>
            <w:bookmarkEnd w:id="5"/>
            <w:r>
              <w:rPr>
                <w:bCs/>
                <w:szCs w:val="21"/>
              </w:rPr>
              <w:t>》的议案</w:t>
            </w:r>
          </w:p>
          <w:p w14:paraId="7EB184E7">
            <w:pPr>
              <w:numPr>
                <w:ilvl w:val="0"/>
                <w:numId w:val="1"/>
              </w:numPr>
              <w:spacing w:line="360" w:lineRule="auto"/>
              <w:rPr>
                <w:bCs/>
                <w:szCs w:val="21"/>
              </w:rPr>
            </w:pPr>
            <w:r>
              <w:rPr>
                <w:bCs/>
                <w:szCs w:val="21"/>
              </w:rPr>
              <w:t>公司关于修改《董事会秘书工作制度》的议案</w:t>
            </w:r>
          </w:p>
          <w:p w14:paraId="7B449D22">
            <w:pPr>
              <w:numPr>
                <w:ilvl w:val="0"/>
                <w:numId w:val="1"/>
              </w:numPr>
              <w:spacing w:line="360" w:lineRule="auto"/>
              <w:rPr>
                <w:bCs/>
                <w:szCs w:val="21"/>
              </w:rPr>
            </w:pPr>
            <w:r>
              <w:rPr>
                <w:bCs/>
                <w:szCs w:val="21"/>
              </w:rPr>
              <w:t>公司关于修改《信息披露管理制度》的议案</w:t>
            </w:r>
          </w:p>
          <w:p w14:paraId="124D0E13">
            <w:pPr>
              <w:numPr>
                <w:ilvl w:val="0"/>
                <w:numId w:val="1"/>
              </w:numPr>
              <w:spacing w:line="360" w:lineRule="auto"/>
              <w:rPr>
                <w:bCs/>
                <w:szCs w:val="21"/>
              </w:rPr>
            </w:pPr>
            <w:r>
              <w:rPr>
                <w:bCs/>
                <w:szCs w:val="21"/>
              </w:rPr>
              <w:t>公司关于修改《投资者关系管理制度》的议案</w:t>
            </w:r>
          </w:p>
          <w:p w14:paraId="3121B7F5">
            <w:pPr>
              <w:numPr>
                <w:ilvl w:val="0"/>
                <w:numId w:val="1"/>
              </w:numPr>
              <w:spacing w:line="360" w:lineRule="auto"/>
              <w:rPr>
                <w:bCs/>
                <w:szCs w:val="21"/>
              </w:rPr>
            </w:pPr>
            <w:r>
              <w:rPr>
                <w:bCs/>
                <w:szCs w:val="21"/>
              </w:rPr>
              <w:t>公司关于修改《年报信息披露重大差错责任追究制度》的议案</w:t>
            </w:r>
          </w:p>
          <w:p w14:paraId="759B0FA9">
            <w:pPr>
              <w:numPr>
                <w:ilvl w:val="0"/>
                <w:numId w:val="1"/>
              </w:numPr>
              <w:spacing w:line="360" w:lineRule="auto"/>
              <w:rPr>
                <w:bCs/>
                <w:szCs w:val="21"/>
              </w:rPr>
            </w:pPr>
            <w:r>
              <w:rPr>
                <w:bCs/>
                <w:szCs w:val="21"/>
              </w:rPr>
              <w:t>公司关于修改《总经理工作细则》的议案</w:t>
            </w:r>
          </w:p>
          <w:p w14:paraId="58B4C88B">
            <w:pPr>
              <w:numPr>
                <w:ilvl w:val="0"/>
                <w:numId w:val="1"/>
              </w:numPr>
              <w:spacing w:line="360" w:lineRule="auto"/>
              <w:rPr>
                <w:bCs/>
                <w:szCs w:val="21"/>
              </w:rPr>
            </w:pPr>
            <w:r>
              <w:rPr>
                <w:bCs/>
                <w:szCs w:val="21"/>
              </w:rPr>
              <w:t>公司关于修改《内幕信息知情人登记管理制度》的议案</w:t>
            </w:r>
          </w:p>
          <w:p w14:paraId="2A7E69F8">
            <w:pPr>
              <w:numPr>
                <w:ilvl w:val="0"/>
                <w:numId w:val="1"/>
              </w:numPr>
              <w:spacing w:line="360" w:lineRule="auto"/>
              <w:rPr>
                <w:bCs/>
                <w:szCs w:val="21"/>
              </w:rPr>
            </w:pPr>
            <w:r>
              <w:rPr>
                <w:bCs/>
                <w:szCs w:val="21"/>
              </w:rPr>
              <w:t>公司关于修改《防范控股股东、实际控制人及关联方资金占用管理办法》的议案</w:t>
            </w:r>
          </w:p>
          <w:p w14:paraId="4EB41108">
            <w:pPr>
              <w:numPr>
                <w:ilvl w:val="0"/>
                <w:numId w:val="1"/>
              </w:numPr>
              <w:spacing w:line="360" w:lineRule="auto"/>
              <w:rPr>
                <w:bCs/>
                <w:szCs w:val="21"/>
              </w:rPr>
            </w:pPr>
            <w:r>
              <w:rPr>
                <w:bCs/>
                <w:szCs w:val="21"/>
              </w:rPr>
              <w:t>公司关于修改《董事、高级管理人员持有本公司股份及其变动管理制度》的议案</w:t>
            </w:r>
          </w:p>
          <w:p w14:paraId="6CFE33C0">
            <w:pPr>
              <w:numPr>
                <w:ilvl w:val="0"/>
                <w:numId w:val="1"/>
              </w:numPr>
              <w:spacing w:line="360" w:lineRule="auto"/>
              <w:rPr>
                <w:bCs/>
                <w:szCs w:val="21"/>
              </w:rPr>
            </w:pPr>
            <w:r>
              <w:rPr>
                <w:bCs/>
                <w:szCs w:val="21"/>
              </w:rPr>
              <w:t>公司关于修改《战略委员会实施细则》的议案</w:t>
            </w:r>
          </w:p>
          <w:p w14:paraId="6F143067">
            <w:pPr>
              <w:numPr>
                <w:ilvl w:val="0"/>
                <w:numId w:val="1"/>
              </w:numPr>
              <w:spacing w:line="360" w:lineRule="auto"/>
              <w:rPr>
                <w:bCs/>
                <w:szCs w:val="21"/>
              </w:rPr>
            </w:pPr>
            <w:r>
              <w:rPr>
                <w:bCs/>
                <w:szCs w:val="21"/>
              </w:rPr>
              <w:t>公司关于召开2025年第一次临时股东会的议案</w:t>
            </w:r>
          </w:p>
        </w:tc>
      </w:tr>
      <w:tr w14:paraId="5AF0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004" w:type="pct"/>
            <w:tcBorders>
              <w:top w:val="single" w:color="auto" w:sz="4" w:space="0"/>
              <w:left w:val="single" w:color="auto" w:sz="4" w:space="0"/>
              <w:bottom w:val="single" w:color="auto" w:sz="4" w:space="0"/>
              <w:right w:val="single" w:color="auto" w:sz="4" w:space="0"/>
            </w:tcBorders>
          </w:tcPr>
          <w:p w14:paraId="18DB43EE">
            <w:pPr>
              <w:spacing w:line="360" w:lineRule="auto"/>
              <w:rPr>
                <w:szCs w:val="21"/>
              </w:rPr>
            </w:pPr>
            <w:r>
              <w:rPr>
                <w:szCs w:val="21"/>
              </w:rPr>
              <w:t>第十一届第十三次</w:t>
            </w:r>
          </w:p>
        </w:tc>
        <w:tc>
          <w:tcPr>
            <w:tcW w:w="1081" w:type="pct"/>
            <w:tcBorders>
              <w:top w:val="single" w:color="auto" w:sz="4" w:space="0"/>
              <w:left w:val="single" w:color="auto" w:sz="4" w:space="0"/>
              <w:bottom w:val="single" w:color="auto" w:sz="4" w:space="0"/>
              <w:right w:val="single" w:color="auto" w:sz="4" w:space="0"/>
            </w:tcBorders>
          </w:tcPr>
          <w:p w14:paraId="2EC9B2D7">
            <w:pPr>
              <w:spacing w:line="360" w:lineRule="auto"/>
              <w:rPr>
                <w:szCs w:val="21"/>
              </w:rPr>
            </w:pPr>
            <w:r>
              <w:rPr>
                <w:szCs w:val="21"/>
              </w:rPr>
              <w:t>2025年10月28日</w:t>
            </w:r>
          </w:p>
        </w:tc>
        <w:tc>
          <w:tcPr>
            <w:tcW w:w="2914" w:type="pct"/>
            <w:tcBorders>
              <w:top w:val="single" w:color="auto" w:sz="4" w:space="0"/>
              <w:left w:val="single" w:color="auto" w:sz="4" w:space="0"/>
              <w:bottom w:val="single" w:color="auto" w:sz="4" w:space="0"/>
              <w:right w:val="single" w:color="auto" w:sz="4" w:space="0"/>
            </w:tcBorders>
          </w:tcPr>
          <w:p w14:paraId="0ADEB07C">
            <w:pPr>
              <w:spacing w:line="360" w:lineRule="auto"/>
              <w:rPr>
                <w:szCs w:val="21"/>
              </w:rPr>
            </w:pPr>
            <w:r>
              <w:rPr>
                <w:szCs w:val="21"/>
              </w:rPr>
              <w:t>审议通过：</w:t>
            </w:r>
          </w:p>
          <w:p w14:paraId="1C253860">
            <w:pPr>
              <w:spacing w:line="360" w:lineRule="auto"/>
              <w:rPr>
                <w:bCs/>
                <w:szCs w:val="21"/>
              </w:rPr>
            </w:pPr>
            <w:r>
              <w:rPr>
                <w:bCs/>
                <w:szCs w:val="21"/>
              </w:rPr>
              <w:t>公司关于《山东好当家海洋发展股份有限公司2025年第三季度报告》的议案</w:t>
            </w:r>
          </w:p>
        </w:tc>
      </w:tr>
      <w:tr w14:paraId="3900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004" w:type="pct"/>
            <w:tcBorders>
              <w:top w:val="single" w:color="auto" w:sz="4" w:space="0"/>
              <w:left w:val="single" w:color="auto" w:sz="4" w:space="0"/>
              <w:bottom w:val="single" w:color="auto" w:sz="4" w:space="0"/>
              <w:right w:val="single" w:color="auto" w:sz="4" w:space="0"/>
            </w:tcBorders>
          </w:tcPr>
          <w:p w14:paraId="5736084D">
            <w:pPr>
              <w:spacing w:line="360" w:lineRule="auto"/>
              <w:rPr>
                <w:szCs w:val="21"/>
              </w:rPr>
            </w:pPr>
            <w:r>
              <w:rPr>
                <w:szCs w:val="21"/>
              </w:rPr>
              <w:t>第十一届第十四次</w:t>
            </w:r>
          </w:p>
        </w:tc>
        <w:tc>
          <w:tcPr>
            <w:tcW w:w="1081" w:type="pct"/>
            <w:tcBorders>
              <w:top w:val="single" w:color="auto" w:sz="4" w:space="0"/>
              <w:left w:val="single" w:color="auto" w:sz="4" w:space="0"/>
              <w:bottom w:val="single" w:color="auto" w:sz="4" w:space="0"/>
              <w:right w:val="single" w:color="auto" w:sz="4" w:space="0"/>
            </w:tcBorders>
          </w:tcPr>
          <w:p w14:paraId="4EE965D0">
            <w:pPr>
              <w:spacing w:line="360" w:lineRule="auto"/>
              <w:rPr>
                <w:szCs w:val="21"/>
              </w:rPr>
            </w:pPr>
            <w:r>
              <w:rPr>
                <w:szCs w:val="21"/>
              </w:rPr>
              <w:t>2025年12月31日</w:t>
            </w:r>
          </w:p>
        </w:tc>
        <w:tc>
          <w:tcPr>
            <w:tcW w:w="2914" w:type="pct"/>
            <w:tcBorders>
              <w:top w:val="single" w:color="auto" w:sz="4" w:space="0"/>
              <w:left w:val="single" w:color="auto" w:sz="4" w:space="0"/>
              <w:bottom w:val="single" w:color="auto" w:sz="4" w:space="0"/>
              <w:right w:val="single" w:color="auto" w:sz="4" w:space="0"/>
            </w:tcBorders>
          </w:tcPr>
          <w:p w14:paraId="6AF3AF5B">
            <w:pPr>
              <w:spacing w:line="360" w:lineRule="auto"/>
              <w:rPr>
                <w:szCs w:val="21"/>
              </w:rPr>
            </w:pPr>
            <w:r>
              <w:rPr>
                <w:szCs w:val="21"/>
              </w:rPr>
              <w:t>审议通过：</w:t>
            </w:r>
          </w:p>
          <w:p w14:paraId="219B2B40">
            <w:pPr>
              <w:numPr>
                <w:ilvl w:val="0"/>
                <w:numId w:val="2"/>
              </w:numPr>
              <w:spacing w:line="360" w:lineRule="auto"/>
              <w:rPr>
                <w:bCs/>
                <w:szCs w:val="21"/>
              </w:rPr>
            </w:pPr>
            <w:r>
              <w:rPr>
                <w:bCs/>
                <w:szCs w:val="21"/>
              </w:rPr>
              <w:t>关于聘任公司董事会秘书的议案</w:t>
            </w:r>
          </w:p>
          <w:p w14:paraId="58D6ED05">
            <w:pPr>
              <w:spacing w:line="360" w:lineRule="auto"/>
              <w:rPr>
                <w:bCs/>
                <w:szCs w:val="21"/>
              </w:rPr>
            </w:pPr>
            <w:r>
              <w:rPr>
                <w:bCs/>
                <w:szCs w:val="21"/>
              </w:rPr>
              <w:t>2、关于补选第十一届董事会战略委员会委员的议案</w:t>
            </w:r>
          </w:p>
          <w:p w14:paraId="484FD08D">
            <w:pPr>
              <w:spacing w:line="360" w:lineRule="auto"/>
              <w:rPr>
                <w:b/>
                <w:sz w:val="24"/>
              </w:rPr>
            </w:pPr>
            <w:r>
              <w:rPr>
                <w:bCs/>
                <w:szCs w:val="21"/>
              </w:rPr>
              <w:t>3、关于补选第十一届董事会薪酬与考核委员会委员的议案</w:t>
            </w:r>
          </w:p>
        </w:tc>
      </w:tr>
    </w:tbl>
    <w:p w14:paraId="6664E527">
      <w:pPr>
        <w:spacing w:line="360" w:lineRule="auto"/>
        <w:rPr>
          <w:rFonts w:hint="eastAsia" w:ascii="宋体" w:hAnsi="宋体" w:cs="宋体"/>
          <w:sz w:val="24"/>
        </w:rPr>
      </w:pPr>
      <w:r>
        <w:rPr>
          <w:rFonts w:hint="eastAsia" w:ascii="宋体" w:hAnsi="宋体" w:cs="宋体"/>
          <w:sz w:val="24"/>
        </w:rPr>
        <w:t>（二）对股东（大）会决议的执行情况</w:t>
      </w:r>
    </w:p>
    <w:p w14:paraId="47B7F9C9">
      <w:pPr>
        <w:spacing w:line="360" w:lineRule="auto"/>
        <w:ind w:firstLine="480" w:firstLineChars="200"/>
        <w:rPr>
          <w:rFonts w:hint="eastAsia" w:ascii="宋体" w:hAnsi="宋体" w:cs="宋体"/>
          <w:sz w:val="24"/>
        </w:rPr>
      </w:pPr>
      <w:r>
        <w:rPr>
          <w:rFonts w:hint="eastAsia" w:ascii="宋体" w:hAnsi="宋体" w:cs="宋体"/>
          <w:sz w:val="24"/>
        </w:rPr>
        <w:t>公司股东会职责清晰，有明确的议事规则并得到切实执行。公司（大）的召集、召开、提案程序符合《公司法》《公司章程》以及公司《股东（大）会议事规则》等相关规定。公司无重大事项绕过股东（大）会的情况，也不存在先实施后审议的情况。</w:t>
      </w:r>
    </w:p>
    <w:p w14:paraId="77F66E15">
      <w:pPr>
        <w:spacing w:line="360" w:lineRule="auto"/>
        <w:ind w:firstLine="480" w:firstLineChars="200"/>
        <w:rPr>
          <w:rFonts w:hint="eastAsia" w:ascii="宋体" w:hAnsi="宋体" w:cs="宋体"/>
          <w:color w:val="000000"/>
          <w:sz w:val="24"/>
        </w:rPr>
      </w:pPr>
      <w:r>
        <w:rPr>
          <w:rFonts w:hint="eastAsia" w:ascii="宋体" w:hAnsi="宋体" w:cs="宋体"/>
          <w:sz w:val="24"/>
        </w:rPr>
        <w:t>根据</w:t>
      </w:r>
      <w:r>
        <w:rPr>
          <w:rFonts w:hint="eastAsia" w:ascii="宋体" w:hAnsi="宋体" w:cs="宋体"/>
          <w:color w:val="000000"/>
          <w:sz w:val="24"/>
        </w:rPr>
        <w:t>2025年5月19日召开的2024年度股东会，表决通过了：</w:t>
      </w:r>
    </w:p>
    <w:p w14:paraId="43EA0235">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1、关于公司2024年度董事会工作报告的议案</w:t>
      </w:r>
    </w:p>
    <w:p w14:paraId="0363785C">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2、关于公司2024年度监事会工作报告的议案</w:t>
      </w:r>
    </w:p>
    <w:p w14:paraId="1A0D1161">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3、关于公司2024年年度报告的议案</w:t>
      </w:r>
    </w:p>
    <w:p w14:paraId="0260734F">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4、关于公司2024年度财务决算报告的议案</w:t>
      </w:r>
    </w:p>
    <w:p w14:paraId="49345299">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5、关于公司2024年度</w:t>
      </w:r>
      <w:r>
        <w:rPr>
          <w:rFonts w:hint="eastAsia" w:ascii="宋体" w:hAnsi="宋体" w:cs="宋体"/>
          <w:iCs/>
          <w:color w:val="000000"/>
          <w:kern w:val="0"/>
          <w:sz w:val="24"/>
        </w:rPr>
        <w:t>独立董事述职报告</w:t>
      </w:r>
    </w:p>
    <w:p w14:paraId="77519A90">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6、关于公司2025-2026年度（至2025年度股东会召开日）授信额度、授信担保条件和贷款授权的议案</w:t>
      </w:r>
    </w:p>
    <w:p w14:paraId="10A37522">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7、关于公司续聘和信会计师事务所（特殊普通合伙）的议案</w:t>
      </w:r>
    </w:p>
    <w:p w14:paraId="69D165B4">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8、关于公司</w:t>
      </w:r>
      <w:r>
        <w:rPr>
          <w:rFonts w:hint="eastAsia" w:ascii="宋体" w:hAnsi="宋体" w:cs="宋体"/>
          <w:iCs/>
          <w:color w:val="000000"/>
          <w:kern w:val="0"/>
          <w:sz w:val="24"/>
        </w:rPr>
        <w:t>2024年度利润分配方案</w:t>
      </w:r>
    </w:p>
    <w:p w14:paraId="213787C1">
      <w:pPr>
        <w:spacing w:line="276" w:lineRule="auto"/>
        <w:ind w:firstLine="480" w:firstLineChars="200"/>
        <w:rPr>
          <w:rFonts w:hint="eastAsia" w:ascii="宋体" w:hAnsi="宋体" w:cs="宋体"/>
          <w:sz w:val="24"/>
        </w:rPr>
      </w:pPr>
      <w:r>
        <w:rPr>
          <w:rFonts w:hint="eastAsia" w:ascii="宋体" w:hAnsi="宋体" w:cs="宋体"/>
          <w:color w:val="000000"/>
          <w:sz w:val="24"/>
        </w:rPr>
        <w:t>9、</w:t>
      </w:r>
      <w:r>
        <w:rPr>
          <w:rFonts w:hint="eastAsia" w:ascii="宋体" w:hAnsi="宋体" w:cs="宋体"/>
          <w:sz w:val="24"/>
        </w:rPr>
        <w:t>关于公司2025年度预计关联交易的议案</w:t>
      </w:r>
    </w:p>
    <w:p w14:paraId="6A5FB706">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10、</w:t>
      </w:r>
      <w:sdt>
        <w:sdtPr>
          <w:rPr>
            <w:rFonts w:hint="eastAsia" w:ascii="宋体" w:hAnsi="宋体" w:cs="宋体"/>
            <w:iCs/>
            <w:color w:val="000000"/>
            <w:kern w:val="0"/>
            <w:sz w:val="24"/>
          </w:rPr>
          <w:alias w:val="非累积投票议案表决情况_议案名称"/>
          <w:tag w:val="_GBC_16397d349277454a867ff0ffe4485ce9"/>
          <w:id w:val="-1982841079"/>
          <w:placeholder>
            <w:docPart w:val="{e3fbadd7-ea1d-4215-ac89-791d005a3441}"/>
          </w:placeholder>
          <w:text/>
        </w:sdtPr>
        <w:sdtEndPr>
          <w:rPr>
            <w:rFonts w:hint="eastAsia" w:ascii="宋体" w:hAnsi="宋体" w:cs="宋体"/>
            <w:iCs/>
            <w:color w:val="000000"/>
            <w:kern w:val="0"/>
            <w:sz w:val="24"/>
          </w:rPr>
        </w:sdtEndPr>
        <w:sdtContent>
          <w:r>
            <w:rPr>
              <w:rFonts w:hint="eastAsia" w:ascii="宋体" w:hAnsi="宋体" w:cs="宋体"/>
              <w:iCs/>
              <w:color w:val="000000"/>
              <w:kern w:val="0"/>
              <w:sz w:val="24"/>
            </w:rPr>
            <w:t>关于确认2024年董事、高级管理人员薪酬情况及2025年薪酬方案的议案</w:t>
          </w:r>
        </w:sdtContent>
      </w:sdt>
    </w:p>
    <w:p w14:paraId="74FD5F0E">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11、</w:t>
      </w:r>
      <w:sdt>
        <w:sdtPr>
          <w:rPr>
            <w:rFonts w:hint="eastAsia" w:ascii="宋体" w:hAnsi="宋体" w:cs="宋体"/>
            <w:iCs/>
            <w:color w:val="000000"/>
            <w:kern w:val="0"/>
            <w:sz w:val="24"/>
          </w:rPr>
          <w:alias w:val="非累积投票议案表决情况_议案名称"/>
          <w:tag w:val="_GBC_16397d349277454a867ff0ffe4485ce9"/>
          <w:id w:val="1442882716"/>
          <w:placeholder>
            <w:docPart w:val="{6bf917db-c29b-4ce4-9362-ab40e0727ab1}"/>
          </w:placeholder>
          <w:text/>
        </w:sdtPr>
        <w:sdtEndPr>
          <w:rPr>
            <w:rFonts w:hint="eastAsia" w:ascii="宋体" w:hAnsi="宋体" w:cs="宋体"/>
            <w:iCs/>
            <w:color w:val="000000"/>
            <w:kern w:val="0"/>
            <w:sz w:val="24"/>
          </w:rPr>
        </w:sdtEndPr>
        <w:sdtContent>
          <w:r>
            <w:rPr>
              <w:rFonts w:hint="eastAsia" w:ascii="宋体" w:hAnsi="宋体" w:cs="宋体"/>
              <w:sz w:val="24"/>
            </w:rPr>
            <w:t xml:space="preserve">关于确认2024年监事薪酬情况及2025年薪酬方案的议案 </w:t>
          </w:r>
        </w:sdtContent>
      </w:sdt>
    </w:p>
    <w:p w14:paraId="3734A249">
      <w:pPr>
        <w:spacing w:line="276" w:lineRule="auto"/>
        <w:ind w:firstLine="480" w:firstLineChars="200"/>
        <w:rPr>
          <w:rFonts w:hint="eastAsia" w:ascii="宋体" w:hAnsi="宋体" w:cs="宋体"/>
          <w:bCs/>
          <w:sz w:val="24"/>
        </w:rPr>
      </w:pPr>
      <w:r>
        <w:rPr>
          <w:rFonts w:hint="eastAsia" w:ascii="宋体" w:hAnsi="宋体" w:cs="宋体"/>
          <w:color w:val="000000"/>
          <w:sz w:val="24"/>
        </w:rPr>
        <w:t>12、</w:t>
      </w:r>
      <w:r>
        <w:rPr>
          <w:rFonts w:hint="eastAsia" w:ascii="宋体" w:hAnsi="宋体" w:cs="宋体"/>
          <w:bCs/>
          <w:sz w:val="24"/>
        </w:rPr>
        <w:t>关于选举董事的议案。</w:t>
      </w:r>
    </w:p>
    <w:p w14:paraId="79428A48">
      <w:pPr>
        <w:spacing w:line="360" w:lineRule="auto"/>
        <w:ind w:firstLine="480" w:firstLineChars="200"/>
        <w:rPr>
          <w:rFonts w:hint="eastAsia" w:ascii="宋体" w:hAnsi="宋体" w:cs="宋体"/>
          <w:color w:val="000000"/>
          <w:sz w:val="24"/>
        </w:rPr>
      </w:pPr>
      <w:r>
        <w:rPr>
          <w:rFonts w:hint="eastAsia" w:ascii="宋体" w:hAnsi="宋体" w:cs="宋体"/>
          <w:sz w:val="24"/>
        </w:rPr>
        <w:t>根据</w:t>
      </w:r>
      <w:r>
        <w:rPr>
          <w:rFonts w:hint="eastAsia" w:ascii="宋体" w:hAnsi="宋体" w:cs="宋体"/>
          <w:color w:val="000000"/>
          <w:sz w:val="24"/>
        </w:rPr>
        <w:t>2025年10月28日召开的2025年第一次临时股东会，表决通过了：</w:t>
      </w:r>
    </w:p>
    <w:p w14:paraId="08BFDC1A">
      <w:pPr>
        <w:spacing w:line="360" w:lineRule="auto"/>
        <w:ind w:firstLine="480" w:firstLineChars="200"/>
        <w:rPr>
          <w:rFonts w:hint="eastAsia" w:ascii="宋体" w:hAnsi="宋体" w:cs="宋体"/>
          <w:sz w:val="24"/>
        </w:rPr>
      </w:pPr>
      <w:r>
        <w:rPr>
          <w:rFonts w:hint="eastAsia" w:ascii="宋体" w:hAnsi="宋体" w:cs="宋体"/>
          <w:color w:val="000000"/>
          <w:sz w:val="24"/>
        </w:rPr>
        <w:t>1、</w:t>
      </w:r>
      <w:r>
        <w:rPr>
          <w:rFonts w:hint="eastAsia" w:ascii="宋体" w:hAnsi="宋体" w:cs="宋体"/>
          <w:sz w:val="24"/>
          <w:lang w:bidi="ar"/>
        </w:rPr>
        <w:t>关于公司取消监事会暨修改《公司章程》的议案</w:t>
      </w:r>
    </w:p>
    <w:p w14:paraId="436B934F">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w:t>
      </w:r>
      <w:r>
        <w:rPr>
          <w:rFonts w:hint="eastAsia" w:ascii="宋体" w:hAnsi="宋体" w:cs="宋体"/>
          <w:sz w:val="24"/>
          <w:lang w:bidi="ar"/>
        </w:rPr>
        <w:t>关于公司修改《股东会议事规则》的议案</w:t>
      </w:r>
    </w:p>
    <w:p w14:paraId="10FF0A94">
      <w:pPr>
        <w:spacing w:line="360" w:lineRule="auto"/>
        <w:ind w:firstLine="480" w:firstLineChars="200"/>
        <w:rPr>
          <w:rFonts w:hint="eastAsia" w:ascii="宋体" w:hAnsi="宋体" w:cs="宋体"/>
          <w:sz w:val="24"/>
          <w:lang w:bidi="ar"/>
        </w:rPr>
      </w:pPr>
      <w:r>
        <w:rPr>
          <w:rFonts w:hint="eastAsia" w:ascii="宋体" w:hAnsi="宋体" w:cs="宋体"/>
          <w:color w:val="000000"/>
          <w:sz w:val="24"/>
        </w:rPr>
        <w:t>3、</w:t>
      </w:r>
      <w:r>
        <w:rPr>
          <w:rFonts w:hint="eastAsia" w:ascii="宋体" w:hAnsi="宋体" w:cs="宋体"/>
          <w:sz w:val="24"/>
          <w:lang w:bidi="ar"/>
        </w:rPr>
        <w:t>关于公司修改《董事会议事规则》的议案</w:t>
      </w:r>
    </w:p>
    <w:p w14:paraId="2345912E">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w:t>
      </w:r>
      <w:r>
        <w:rPr>
          <w:rFonts w:hint="eastAsia" w:ascii="宋体" w:hAnsi="宋体" w:cs="宋体"/>
          <w:sz w:val="24"/>
          <w:lang w:bidi="ar"/>
        </w:rPr>
        <w:t>关于公司修改《审计委员会实施细则》的议案</w:t>
      </w:r>
    </w:p>
    <w:p w14:paraId="3EDF5B24">
      <w:pPr>
        <w:spacing w:line="360" w:lineRule="auto"/>
        <w:ind w:firstLine="480" w:firstLineChars="200"/>
        <w:rPr>
          <w:rFonts w:hint="eastAsia" w:ascii="宋体" w:hAnsi="宋体" w:cs="宋体"/>
          <w:sz w:val="24"/>
          <w:lang w:bidi="ar"/>
        </w:rPr>
      </w:pPr>
      <w:r>
        <w:rPr>
          <w:rFonts w:hint="eastAsia" w:ascii="宋体" w:hAnsi="宋体" w:cs="宋体"/>
          <w:color w:val="000000"/>
          <w:sz w:val="24"/>
        </w:rPr>
        <w:t>5、</w:t>
      </w:r>
      <w:r>
        <w:rPr>
          <w:rFonts w:hint="eastAsia" w:ascii="宋体" w:hAnsi="宋体" w:cs="宋体"/>
          <w:sz w:val="24"/>
          <w:lang w:bidi="ar"/>
        </w:rPr>
        <w:t>关于公司修改《</w:t>
      </w:r>
      <w:r>
        <w:rPr>
          <w:rFonts w:hint="eastAsia" w:ascii="宋体" w:hAnsi="宋体" w:cs="宋体"/>
          <w:sz w:val="24"/>
        </w:rPr>
        <w:t>对外担保管理制度</w:t>
      </w:r>
      <w:r>
        <w:rPr>
          <w:rFonts w:hint="eastAsia" w:ascii="宋体" w:hAnsi="宋体" w:cs="宋体"/>
          <w:sz w:val="24"/>
          <w:lang w:bidi="ar"/>
        </w:rPr>
        <w:t>》的议案</w:t>
      </w:r>
    </w:p>
    <w:p w14:paraId="19B84E38">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6、</w:t>
      </w:r>
      <w:r>
        <w:rPr>
          <w:rFonts w:hint="eastAsia" w:ascii="宋体" w:hAnsi="宋体" w:cs="宋体"/>
          <w:sz w:val="24"/>
          <w:lang w:bidi="ar"/>
        </w:rPr>
        <w:t>关于公司修改《关联交易决策制度》的议案</w:t>
      </w:r>
    </w:p>
    <w:p w14:paraId="4E9D8186">
      <w:pPr>
        <w:spacing w:line="360" w:lineRule="auto"/>
        <w:ind w:firstLine="480" w:firstLineChars="200"/>
        <w:rPr>
          <w:rFonts w:hint="eastAsia" w:ascii="宋体" w:hAnsi="宋体" w:cs="宋体"/>
          <w:sz w:val="24"/>
        </w:rPr>
      </w:pPr>
      <w:r>
        <w:rPr>
          <w:rFonts w:hint="eastAsia" w:ascii="宋体" w:hAnsi="宋体" w:cs="宋体"/>
          <w:color w:val="000000"/>
          <w:sz w:val="24"/>
        </w:rPr>
        <w:t>7、</w:t>
      </w:r>
      <w:r>
        <w:rPr>
          <w:rFonts w:hint="eastAsia" w:ascii="宋体" w:hAnsi="宋体" w:cs="宋体"/>
          <w:sz w:val="24"/>
          <w:lang w:bidi="ar"/>
        </w:rPr>
        <w:t>关于公司修改《独立董事工作制度》的议案</w:t>
      </w:r>
    </w:p>
    <w:p w14:paraId="0B7EE0F4">
      <w:pPr>
        <w:spacing w:line="360" w:lineRule="auto"/>
        <w:rPr>
          <w:rFonts w:hint="eastAsia" w:ascii="宋体" w:hAnsi="宋体" w:cs="宋体"/>
          <w:color w:val="000000"/>
          <w:sz w:val="24"/>
        </w:rPr>
      </w:pPr>
      <w:r>
        <w:rPr>
          <w:rFonts w:hint="eastAsia" w:ascii="宋体" w:hAnsi="宋体" w:cs="宋体"/>
          <w:sz w:val="24"/>
        </w:rPr>
        <w:t xml:space="preserve">（三）董事会下设各委员会履职情况 </w:t>
      </w:r>
    </w:p>
    <w:p w14:paraId="1D889A0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公司董事会下设战略委员会、审计委员会、提名委员会、薪酬与考核委员会四个专门委员会。各委员会依据各自工作细则规定的职权范围运作，并就专业性事项进行研究，提出意见及建议，供董事会决策参考。 2025年度，公司召开审计委员会会议5次，战略委员会会议3次，薪酬与考核委员会会议1次，提名委员会会议2次；独立董事积极参与专业委员会的运作，在公司重大事项的决策方面发挥了重要作用。 </w:t>
      </w:r>
    </w:p>
    <w:p w14:paraId="1C88D608">
      <w:pPr>
        <w:adjustRightInd w:val="0"/>
        <w:snapToGrid w:val="0"/>
        <w:spacing w:line="360" w:lineRule="auto"/>
        <w:rPr>
          <w:rFonts w:hint="eastAsia" w:ascii="宋体" w:hAnsi="宋体" w:cs="宋体"/>
          <w:sz w:val="24"/>
        </w:rPr>
      </w:pPr>
      <w:r>
        <w:rPr>
          <w:rFonts w:hint="eastAsia" w:ascii="宋体" w:hAnsi="宋体" w:cs="宋体"/>
          <w:sz w:val="24"/>
        </w:rPr>
        <w:t xml:space="preserve">（四）独立董事履职情况 </w:t>
      </w:r>
    </w:p>
    <w:p w14:paraId="4887B73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公司3名独立董事，严格按照《公司法》《上海证券交易所上市规则》《上市公司治理准则》《关于在上市公司建立独立董事制度的指导意见》《上市公司独立董事管理办法》等法律法规及《公司章程》《公司独立董事制度》的规定，在过去的2025年度工作中，积极参加公司历次董事会、股东会和董事会专门委员会会议，认真审议各项议案，对重要事项发表独立意见，运用各自的专业知识，为公司的科学决策和规范运作提出意见和建议，充分发挥了独立董事对公司的监督、建议等作用，不受公司大股东或者其他与公司存在利害关系的单位或个人的影响，切实维护中小股东的合法权益不受损害。</w:t>
      </w:r>
    </w:p>
    <w:p w14:paraId="198B94D1">
      <w:pPr>
        <w:adjustRightInd w:val="0"/>
        <w:snapToGrid w:val="0"/>
        <w:spacing w:line="360" w:lineRule="auto"/>
        <w:rPr>
          <w:rFonts w:hint="eastAsia" w:ascii="宋体" w:hAnsi="宋体" w:cs="宋体"/>
          <w:sz w:val="24"/>
        </w:rPr>
      </w:pPr>
      <w:r>
        <w:rPr>
          <w:rFonts w:hint="eastAsia" w:ascii="宋体" w:hAnsi="宋体" w:cs="宋体"/>
          <w:sz w:val="24"/>
        </w:rPr>
        <w:t>（五）公司信息披露情况</w:t>
      </w:r>
    </w:p>
    <w:p w14:paraId="1AD8CA6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公司董事严格执行《公司法》《证券法》《上海证券交易所股票上市规则》及公司《信息披露管理制度》等有关规定，认真自觉履行信息披露义务，切实提高公司规范运作水平和透明度。报告期内，公司按照法律法规和上市规则规定的披露时限及时报送并在指定报刊、网站披露相关文件。公司信息披露真实、准确、完整、及时、公平，能客观地反映公司发生的相关事项，确保没有虚假记载、误导性陈述或重大遗漏，保证了信息披露的准确性、可靠性和有用性。</w:t>
      </w:r>
    </w:p>
    <w:p w14:paraId="09D8A46A">
      <w:pPr>
        <w:adjustRightInd w:val="0"/>
        <w:snapToGrid w:val="0"/>
        <w:spacing w:line="360" w:lineRule="auto"/>
        <w:rPr>
          <w:rFonts w:hint="eastAsia" w:ascii="宋体" w:hAnsi="宋体" w:cs="宋体"/>
          <w:sz w:val="24"/>
        </w:rPr>
      </w:pPr>
      <w:r>
        <w:rPr>
          <w:rFonts w:hint="eastAsia" w:ascii="宋体" w:hAnsi="宋体" w:cs="宋体"/>
          <w:sz w:val="24"/>
        </w:rPr>
        <w:t xml:space="preserve">（六）投资者关系管理工作 </w:t>
      </w:r>
    </w:p>
    <w:p w14:paraId="57281A53">
      <w:pPr>
        <w:adjustRightInd w:val="0"/>
        <w:snapToGrid w:val="0"/>
        <w:spacing w:line="360" w:lineRule="auto"/>
        <w:ind w:firstLine="480" w:firstLineChars="200"/>
        <w:rPr>
          <w:rFonts w:hint="eastAsia" w:ascii="宋体" w:hAnsi="宋体" w:cs="宋体"/>
          <w:color w:val="000000"/>
          <w:sz w:val="24"/>
        </w:rPr>
      </w:pPr>
      <w:r>
        <w:rPr>
          <w:rFonts w:hint="eastAsia" w:ascii="宋体" w:hAnsi="宋体" w:cs="宋体"/>
          <w:sz w:val="24"/>
        </w:rPr>
        <w:t>公司高度重视投资者关系的管理工作，除规定的信息披露途径外，公司还提供多渠道、全方位的投资者关系服务，包括业绩说明会、对外的电话专线、上证E互动平台等多渠道，听取意见、建议，促进了公司投资者关系工作的全面开展，有效提高了投资者的满意度，维护了公司良好的市场形象，切实保护投资者利益，努力实现公司价值最大化和股东利益最大化的战略管理行为。</w:t>
      </w:r>
    </w:p>
    <w:p w14:paraId="3886B540">
      <w:pPr>
        <w:spacing w:line="360" w:lineRule="auto"/>
        <w:rPr>
          <w:rFonts w:hint="eastAsia" w:ascii="宋体" w:hAnsi="宋体" w:cs="宋体"/>
          <w:b/>
          <w:bCs/>
          <w:sz w:val="24"/>
        </w:rPr>
      </w:pPr>
      <w:r>
        <w:rPr>
          <w:rFonts w:hint="eastAsia" w:ascii="宋体" w:hAnsi="宋体" w:cs="宋体"/>
          <w:b/>
          <w:bCs/>
          <w:sz w:val="24"/>
        </w:rPr>
        <w:t>二、行业竞争格局和发展趋势</w:t>
      </w:r>
    </w:p>
    <w:p w14:paraId="22E41C96">
      <w:pPr>
        <w:spacing w:line="360" w:lineRule="auto"/>
        <w:ind w:firstLine="480" w:firstLineChars="200"/>
        <w:rPr>
          <w:rFonts w:hint="eastAsia" w:ascii="宋体" w:hAnsi="宋体" w:cs="宋体"/>
          <w:color w:val="000000"/>
          <w:sz w:val="24"/>
          <w:shd w:val="clear" w:color="auto" w:fill="FFFFFF"/>
        </w:rPr>
      </w:pPr>
      <w:bookmarkStart w:id="6" w:name="_Hlk195707159"/>
      <w:r>
        <w:rPr>
          <w:rFonts w:hint="eastAsia" w:ascii="宋体" w:hAnsi="宋体" w:cs="宋体"/>
          <w:color w:val="000000"/>
          <w:sz w:val="24"/>
          <w:shd w:val="clear" w:color="auto" w:fill="FFFFFF"/>
        </w:rPr>
        <w:t>我国海水养殖行业参与主体众多，涵盖上市企业至个体养殖户，行业整体集中度较低，市场竞争较为充分。在国内消费升级与供给侧结构性改革的双重推动下，海水养殖行业已呈现整合发展趋势，装备工程化、技术现代化、生产工厂化、管理工业化正逐步成为行业高质量发展的核心方向。随着产业资本持续加大投资布局与并购整合力度，未来海水养殖行业竞争将进一步聚焦资金实力、品牌影响力与技术创新能力，行业集中度有望持续提升，新的产业格局将加速形成。优化养殖结构、提升养殖效益、创新养殖技术与品种、保障水产品质量安全、推动产业规模化与集约化发展，将成为行业发展重点。未来现代海洋渔业将朝着海洋捕捞、海水养殖、水产品精深加工、休闲渔业融合协同的方向演进。</w:t>
      </w:r>
    </w:p>
    <w:p w14:paraId="24297325">
      <w:pPr>
        <w:spacing w:line="360" w:lineRule="auto"/>
        <w:ind w:firstLine="480" w:firstLineChars="200"/>
        <w:rPr>
          <w:rFonts w:hint="eastAsia" w:ascii="宋体" w:hAnsi="宋体" w:cs="宋体"/>
          <w:color w:val="000000"/>
          <w:sz w:val="24"/>
          <w:shd w:val="clear" w:color="auto" w:fill="FFFFFF"/>
        </w:rPr>
      </w:pPr>
      <w:r>
        <w:rPr>
          <w:rFonts w:hint="eastAsia" w:ascii="宋体" w:hAnsi="宋体" w:cs="宋体"/>
          <w:color w:val="000000"/>
          <w:sz w:val="24"/>
          <w:shd w:val="clear" w:color="auto" w:fill="FFFFFF"/>
        </w:rPr>
        <w:t>当前，水产养殖业正加快由传统粗放型向现代集约型、生态友好型转型，循环水养殖、深海网箱养殖等高效优质模式得到广泛推广应用。随着食品安全与品质标准持续提高，水产品加工业稳步发展，冷链物流体系不断完善，水产品从养殖、捕捞到加工、流通销售全链条呈现高质量、标准化发展态势。</w:t>
      </w:r>
    </w:p>
    <w:p w14:paraId="6533254F">
      <w:pPr>
        <w:spacing w:line="360" w:lineRule="auto"/>
        <w:ind w:firstLine="480" w:firstLineChars="200"/>
        <w:rPr>
          <w:rFonts w:hint="eastAsia" w:ascii="宋体" w:hAnsi="宋体" w:cs="宋体"/>
          <w:color w:val="000000"/>
          <w:sz w:val="24"/>
          <w:shd w:val="clear" w:color="auto" w:fill="FFFFFF"/>
        </w:rPr>
      </w:pPr>
      <w:r>
        <w:rPr>
          <w:rFonts w:hint="eastAsia" w:ascii="宋体" w:hAnsi="宋体" w:cs="宋体"/>
          <w:color w:val="000000"/>
          <w:sz w:val="24"/>
          <w:shd w:val="clear" w:color="auto" w:fill="FFFFFF"/>
        </w:rPr>
        <w:t>面对全球气候变化、海洋资源保护及消费需求升级等多重挑战，水产业更加注重可持续发展与科技创新驱动。一方面，积极探索推广生态高效的海洋牧场养殖模式；另一方面，运用微生物制剂等生物技术优化品种结构与生长性能，不断健全水产品全程溯源体系，提升供应链透明度与食品安全保障水平，更好满足消费者对高品质水产品的需求。</w:t>
      </w:r>
    </w:p>
    <w:p w14:paraId="762B43DA">
      <w:pPr>
        <w:spacing w:line="360" w:lineRule="auto"/>
        <w:ind w:firstLine="480" w:firstLineChars="200"/>
        <w:rPr>
          <w:rFonts w:hint="eastAsia" w:ascii="宋体" w:hAnsi="宋体" w:cs="宋体"/>
          <w:color w:val="000000"/>
          <w:sz w:val="24"/>
          <w:shd w:val="clear" w:color="auto" w:fill="FFFFFF"/>
        </w:rPr>
      </w:pPr>
      <w:r>
        <w:rPr>
          <w:rFonts w:hint="eastAsia" w:ascii="宋体" w:hAnsi="宋体" w:cs="宋体"/>
          <w:color w:val="000000"/>
          <w:sz w:val="24"/>
          <w:shd w:val="clear" w:color="auto" w:fill="FFFFFF"/>
        </w:rPr>
        <w:t>现代生活节奏加快与消费需求多元化，有力推动了预制菜产业快速发展。预制菜凭借储存便捷、运输方便、操作简单等优势，有效契合了消费者对便捷化、多样化餐饮消费的需求。行业持续在生产工艺、包装技术、销售渠道等方面创新升级，不断提升生产效率、产品质量与成本管控能力，市场规模稳步扩大。</w:t>
      </w:r>
    </w:p>
    <w:p w14:paraId="74D70192">
      <w:pPr>
        <w:spacing w:line="360" w:lineRule="auto"/>
        <w:ind w:firstLine="480" w:firstLineChars="200"/>
        <w:rPr>
          <w:rFonts w:hint="eastAsia" w:ascii="宋体" w:hAnsi="宋体" w:cs="宋体"/>
          <w:color w:val="000000"/>
          <w:sz w:val="24"/>
          <w:shd w:val="clear" w:color="auto" w:fill="FFFFFF"/>
        </w:rPr>
      </w:pPr>
      <w:r>
        <w:rPr>
          <w:rFonts w:hint="eastAsia" w:ascii="宋体" w:hAnsi="宋体" w:cs="宋体"/>
          <w:color w:val="000000"/>
          <w:sz w:val="24"/>
          <w:shd w:val="clear" w:color="auto" w:fill="FFFFFF"/>
        </w:rPr>
        <w:t>随着互联网、人工智能等技术深度渗透各行业，未来水产养殖将更多依托自动化装备实现智能管控，有效降低养殖风险与生产成本。通过物联网、大数据、信息化管理系统等现代技术集成应用，可构建全链条水产养殖产业化解决方案，显著降低对自然环境的依赖程度，提升养殖品质与产出效率，助推产业转型升级。发展现代设施农业，实施设施农业现代化提升行动，推进养殖区域改造升级，发展大水面生态渔业，建设现代化海洋牧场，集成创新生态健康养殖模式，将全面促进人与自然和谐共生。</w:t>
      </w:r>
    </w:p>
    <w:p w14:paraId="77643625">
      <w:pPr>
        <w:spacing w:line="360" w:lineRule="auto"/>
        <w:ind w:firstLine="480" w:firstLineChars="200"/>
        <w:rPr>
          <w:rFonts w:hint="eastAsia" w:ascii="宋体" w:hAnsi="宋体" w:cs="宋体"/>
          <w:sz w:val="24"/>
        </w:rPr>
      </w:pPr>
      <w:r>
        <w:rPr>
          <w:rFonts w:hint="eastAsia" w:ascii="宋体" w:hAnsi="宋体" w:cs="宋体"/>
          <w:color w:val="000000"/>
          <w:sz w:val="24"/>
          <w:shd w:val="clear" w:color="auto" w:fill="FFFFFF"/>
        </w:rPr>
        <w:t>公司高度重视系统谋划与整体布局，统筹产业发展与外部环境、产业内部各环节协同平衡，加快推动产业迈入标准化、规范化、溯源化、智能化发展新阶段，持续增强核心竞争力与可持续发展能力。</w:t>
      </w:r>
    </w:p>
    <w:bookmarkEnd w:id="6"/>
    <w:p w14:paraId="5A7E303C">
      <w:pPr>
        <w:spacing w:line="360" w:lineRule="auto"/>
        <w:rPr>
          <w:rFonts w:hint="eastAsia" w:ascii="宋体" w:hAnsi="宋体" w:cs="宋体"/>
          <w:b/>
          <w:bCs/>
          <w:sz w:val="24"/>
        </w:rPr>
      </w:pPr>
      <w:r>
        <w:rPr>
          <w:rFonts w:hint="eastAsia" w:ascii="宋体" w:hAnsi="宋体" w:cs="宋体"/>
          <w:b/>
          <w:bCs/>
          <w:sz w:val="24"/>
        </w:rPr>
        <w:t>三、公司发展战略及2026年工作计划</w:t>
      </w:r>
    </w:p>
    <w:p w14:paraId="360D654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2026年，公司将严格落实董事会会议精神，持续强化理论学习、提高思想认识，切实增强全体干部职工的责任感与使命感，依托高质量发展平台，精准把握行业发展大势、抢抓市场发展机遇，科学合理配置各类资源，及时制定并落实风险应对措施，加强风险监测与管控，有效降低经营风险，持续培育并巩固市场竞争优势。公司将充分发挥董事会的经营决策与战略指导作用，以加强自身建设为突破口，持续提升公司治理能力与治理水平，推动公司高质量发展，切实实现股东利益最大化。</w:t>
      </w:r>
    </w:p>
    <w:p w14:paraId="3AF456AD">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2026年，公司将立足现有发展基础，结合产业链布局、产品服务体系、专业人才储备、绩效团队管理及独特地域优势等核心条件，科学谋划发展方向，主动适应市场变化，持续巩固市场占有率，聚焦高品质、高质量发展主线，不断改善企业经济效益，增强企业核心竞争力。</w:t>
      </w:r>
    </w:p>
    <w:p w14:paraId="4AADEF8E">
      <w:pPr>
        <w:pStyle w:val="2"/>
        <w:widowControl/>
        <w:spacing w:beforeAutospacing="0" w:afterAutospacing="0" w:line="360" w:lineRule="auto"/>
        <w:rPr>
          <w:rFonts w:cs="宋体"/>
          <w:sz w:val="24"/>
          <w:szCs w:val="24"/>
        </w:rPr>
      </w:pPr>
      <w:r>
        <w:rPr>
          <w:rFonts w:cs="宋体"/>
          <w:sz w:val="24"/>
          <w:szCs w:val="24"/>
        </w:rPr>
        <w:t>1、深耕水产养殖主业，推动绿色高效发展</w:t>
      </w:r>
    </w:p>
    <w:p w14:paraId="0DCC0A15">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公司水产养殖业以海参为核心主导，坚守绿色有机刺参发展理念，大力推进水产育苗技术迭代升级，持续提升海参养殖专业化水平，严格规范养殖环境管控，助力行业向现代化、可持续化方向发展，在保障产品品质的前提下，最大限度降低养殖成本、提升养殖产能，夯实主业发展根基。</w:t>
      </w:r>
    </w:p>
    <w:p w14:paraId="67AB85E4">
      <w:pPr>
        <w:pStyle w:val="2"/>
        <w:widowControl/>
        <w:spacing w:beforeAutospacing="0" w:afterAutospacing="0" w:line="360" w:lineRule="auto"/>
        <w:rPr>
          <w:rFonts w:cs="宋体"/>
          <w:sz w:val="24"/>
          <w:szCs w:val="24"/>
        </w:rPr>
      </w:pPr>
      <w:r>
        <w:rPr>
          <w:rFonts w:cs="宋体"/>
          <w:sz w:val="24"/>
          <w:szCs w:val="24"/>
        </w:rPr>
        <w:t>2、做强食品加工板块，拓宽多元发展路径</w:t>
      </w:r>
    </w:p>
    <w:p w14:paraId="3A3C79DC">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食品加工业聚焦冷冻预制菜与保健类产品两大核心方向，精准发力、分类施策。冷冻预制菜业务依托现有出口优势，结合国内市场消费趋势优化营销理念，持续做大做强市场规模；保健类产品重点聚焦国内新兴市场需求，围绕产品标准化、规范化、全程溯源建设，在政策支持、技术创新与消费升级的多重驱动下稳步发展，积极应对市场挑战、抢抓发展机遇，实现板块高质量发展。</w:t>
      </w:r>
    </w:p>
    <w:p w14:paraId="3D1BB454">
      <w:pPr>
        <w:pStyle w:val="2"/>
        <w:widowControl/>
        <w:spacing w:beforeAutospacing="0" w:afterAutospacing="0" w:line="360" w:lineRule="auto"/>
        <w:rPr>
          <w:rFonts w:cs="宋体"/>
          <w:sz w:val="24"/>
          <w:szCs w:val="24"/>
        </w:rPr>
      </w:pPr>
      <w:r>
        <w:rPr>
          <w:rFonts w:cs="宋体"/>
          <w:sz w:val="24"/>
          <w:szCs w:val="24"/>
        </w:rPr>
        <w:t>3、拓展海参销售渠道，推动产业健康发展</w:t>
      </w:r>
    </w:p>
    <w:p w14:paraId="6AE1D85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持续加大海参销售渠道拓展力度，深入研究市场环境与客户需求趋势，精准预判市场走向，提前布局、抢占市场先机，构筑先发竞争优势。运用多种信息采集技术，全面开展国内海参市场数据的采集、整理与分析工作，积极推动海参地理标志产品建设。通过全产业链优化升级实现降本增效，进一步提升生产工艺水平，完善冷链物流体系与售后服务体系，严控产业链各环节成本，合理优化终端产品价格，助力海参行业健康有序发展。</w:t>
      </w:r>
    </w:p>
    <w:p w14:paraId="7534D1E0">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发展重任在肩，形势催人奋进。为员工创造发展机会、为客户创造核心效益、为股东创造丰厚财富、为社会创造突出价值，是公司董事会的使命所在、职责所系。2026年，公司董事会将一如既往地忠实勤勉、履职尽责，充分发挥决策引领作用，全力推动好当家建设成为蓝色经济区的先锋企业，实现公司更高质量、更快速度发展，以优良经营业绩回报广大投资者的信任与支持。</w:t>
      </w:r>
    </w:p>
    <w:p w14:paraId="0664639B">
      <w:pPr>
        <w:spacing w:line="360" w:lineRule="auto"/>
        <w:rPr>
          <w:rFonts w:hint="eastAsia" w:ascii="宋体" w:hAnsi="宋体" w:cs="宋体"/>
          <w:sz w:val="24"/>
        </w:rPr>
      </w:pPr>
    </w:p>
    <w:p w14:paraId="544DF412">
      <w:pPr>
        <w:spacing w:line="360" w:lineRule="auto"/>
        <w:jc w:val="right"/>
        <w:rPr>
          <w:rFonts w:hint="eastAsia" w:ascii="宋体" w:hAnsi="宋体" w:cs="宋体"/>
          <w:sz w:val="24"/>
        </w:rPr>
      </w:pPr>
      <w:r>
        <w:rPr>
          <w:rFonts w:hint="eastAsia" w:ascii="宋体" w:hAnsi="宋体" w:cs="宋体"/>
          <w:sz w:val="24"/>
        </w:rPr>
        <w:t>山东好当家海洋发展股份有限公司</w:t>
      </w:r>
    </w:p>
    <w:p w14:paraId="4D992A4F">
      <w:pPr>
        <w:spacing w:line="360" w:lineRule="auto"/>
        <w:ind w:firstLine="2640" w:firstLineChars="1100"/>
        <w:jc w:val="right"/>
        <w:rPr>
          <w:rFonts w:hint="eastAsia" w:ascii="宋体" w:hAnsi="宋体" w:cs="宋体"/>
          <w:sz w:val="24"/>
        </w:rPr>
      </w:pPr>
      <w:r>
        <w:rPr>
          <w:rFonts w:hint="eastAsia" w:ascii="宋体" w:hAnsi="宋体" w:cs="宋体"/>
          <w:sz w:val="24"/>
        </w:rPr>
        <w:t>董事会</w:t>
      </w:r>
    </w:p>
    <w:p w14:paraId="07F8F564">
      <w:pPr>
        <w:spacing w:line="360" w:lineRule="auto"/>
        <w:jc w:val="right"/>
        <w:rPr>
          <w:rFonts w:hint="eastAsia" w:ascii="宋体" w:hAnsi="宋体" w:cs="宋体"/>
          <w:sz w:val="24"/>
        </w:rPr>
      </w:pPr>
      <w:r>
        <w:rPr>
          <w:rFonts w:hint="eastAsia" w:ascii="宋体" w:hAnsi="宋体" w:cs="宋体"/>
          <w:sz w:val="24"/>
        </w:rPr>
        <w:t xml:space="preserve">                                2026年5月18日</w:t>
      </w:r>
    </w:p>
    <w:p w14:paraId="74EAA4E3">
      <w:pPr>
        <w:spacing w:line="360" w:lineRule="auto"/>
        <w:jc w:val="right"/>
        <w:rPr>
          <w:rFonts w:hint="eastAsia" w:ascii="宋体" w:hAnsi="宋体"/>
          <w:sz w:val="24"/>
        </w:rPr>
      </w:pPr>
    </w:p>
    <w:p w14:paraId="68C49512">
      <w:pPr>
        <w:spacing w:line="360" w:lineRule="auto"/>
        <w:jc w:val="right"/>
        <w:rPr>
          <w:rFonts w:hint="eastAsia" w:ascii="宋体" w:hAnsi="宋体"/>
          <w:sz w:val="24"/>
        </w:rPr>
      </w:pPr>
    </w:p>
    <w:p w14:paraId="5897B013">
      <w:pPr>
        <w:spacing w:line="360" w:lineRule="auto"/>
        <w:jc w:val="right"/>
        <w:rPr>
          <w:rFonts w:hint="eastAsia" w:ascii="宋体" w:hAnsi="宋体"/>
          <w:sz w:val="24"/>
        </w:rPr>
      </w:pPr>
    </w:p>
    <w:p w14:paraId="4E4AAF41">
      <w:pPr>
        <w:spacing w:line="360" w:lineRule="auto"/>
        <w:jc w:val="right"/>
        <w:rPr>
          <w:rFonts w:hint="eastAsia" w:ascii="宋体" w:hAnsi="宋体"/>
          <w:sz w:val="24"/>
        </w:rPr>
      </w:pPr>
    </w:p>
    <w:p w14:paraId="7BAB64F7">
      <w:pPr>
        <w:spacing w:line="360" w:lineRule="auto"/>
        <w:jc w:val="right"/>
        <w:rPr>
          <w:rFonts w:hint="eastAsia" w:ascii="宋体" w:hAnsi="宋体"/>
          <w:sz w:val="24"/>
        </w:rPr>
      </w:pPr>
    </w:p>
    <w:p w14:paraId="6EDDA2A6">
      <w:pPr>
        <w:spacing w:line="360" w:lineRule="auto"/>
        <w:jc w:val="right"/>
        <w:rPr>
          <w:rFonts w:hint="eastAsia" w:ascii="宋体" w:hAnsi="宋体"/>
          <w:sz w:val="24"/>
        </w:rPr>
      </w:pPr>
    </w:p>
    <w:p w14:paraId="1C9275B6">
      <w:pPr>
        <w:spacing w:line="360" w:lineRule="auto"/>
        <w:jc w:val="right"/>
        <w:rPr>
          <w:rFonts w:hint="eastAsia" w:ascii="宋体" w:hAnsi="宋体"/>
          <w:sz w:val="24"/>
        </w:rPr>
      </w:pPr>
    </w:p>
    <w:p w14:paraId="74DB6604">
      <w:pPr>
        <w:spacing w:line="360" w:lineRule="auto"/>
        <w:jc w:val="right"/>
        <w:rPr>
          <w:rFonts w:hint="eastAsia" w:ascii="宋体" w:hAnsi="宋体"/>
          <w:sz w:val="24"/>
        </w:rPr>
      </w:pPr>
    </w:p>
    <w:p w14:paraId="22322F1A">
      <w:pPr>
        <w:spacing w:line="360" w:lineRule="auto"/>
        <w:jc w:val="right"/>
        <w:rPr>
          <w:rFonts w:hint="eastAsia" w:ascii="宋体" w:hAnsi="宋体"/>
          <w:sz w:val="24"/>
        </w:rPr>
      </w:pPr>
    </w:p>
    <w:p w14:paraId="7A45ADCB">
      <w:pPr>
        <w:spacing w:line="360" w:lineRule="auto"/>
        <w:jc w:val="right"/>
        <w:rPr>
          <w:rFonts w:hint="eastAsia" w:ascii="宋体" w:hAnsi="宋体"/>
          <w:sz w:val="24"/>
        </w:rPr>
      </w:pPr>
    </w:p>
    <w:p w14:paraId="0C8FCFF6">
      <w:pPr>
        <w:tabs>
          <w:tab w:val="left" w:pos="1620"/>
        </w:tabs>
        <w:spacing w:line="240" w:lineRule="exact"/>
        <w:rPr>
          <w:szCs w:val="21"/>
        </w:rPr>
      </w:pPr>
    </w:p>
    <w:p w14:paraId="3DD4AC26">
      <w:pPr>
        <w:tabs>
          <w:tab w:val="left" w:pos="1620"/>
        </w:tabs>
        <w:spacing w:line="240" w:lineRule="exact"/>
        <w:rPr>
          <w:szCs w:val="21"/>
        </w:rPr>
      </w:pPr>
      <w:r>
        <w:rPr>
          <w:rFonts w:hint="eastAsia"/>
          <w:szCs w:val="21"/>
        </w:rPr>
        <w:t>*******************</w:t>
      </w:r>
    </w:p>
    <w:p w14:paraId="22DD10A3">
      <w:pPr>
        <w:spacing w:line="240" w:lineRule="exact"/>
        <w:rPr>
          <w:szCs w:val="21"/>
        </w:rPr>
      </w:pPr>
      <w:r>
        <w:rPr>
          <w:rFonts w:hint="eastAsia"/>
          <w:szCs w:val="21"/>
        </w:rPr>
        <w:t xml:space="preserve">* </w:t>
      </w:r>
      <w:r>
        <w:rPr>
          <w:rFonts w:ascii="Tahoma" w:hAnsi="Tahoma" w:eastAsia="MS PGothic" w:cs="Tahoma"/>
          <w:szCs w:val="21"/>
        </w:rPr>
        <w:t>20</w:t>
      </w:r>
      <w:r>
        <w:rPr>
          <w:rFonts w:hint="eastAsia" w:ascii="Tahoma" w:hAnsi="Tahoma" w:cs="Tahoma"/>
          <w:szCs w:val="21"/>
        </w:rPr>
        <w:t>25</w:t>
      </w:r>
      <w:r>
        <w:rPr>
          <w:rFonts w:ascii="Tahoma" w:hAnsi="Tahoma" w:eastAsia="MS PGothic" w:cs="Tahoma"/>
          <w:szCs w:val="21"/>
        </w:rPr>
        <w:t>年</w:t>
      </w:r>
      <w:r>
        <w:rPr>
          <w:rFonts w:hint="eastAsia" w:ascii="Tahoma" w:hAnsi="Tahoma" w:cs="Tahoma"/>
          <w:szCs w:val="21"/>
        </w:rPr>
        <w:t>年</w:t>
      </w:r>
      <w:r>
        <w:rPr>
          <w:rFonts w:ascii="Tahoma" w:hAnsi="Tahoma" w:eastAsia="MS PGothic" w:cs="Tahoma"/>
          <w:szCs w:val="21"/>
        </w:rPr>
        <w:t>度股</w:t>
      </w:r>
      <w:r>
        <w:rPr>
          <w:rFonts w:hint="eastAsia" w:ascii="宋体" w:hAnsi="宋体" w:cs="宋体"/>
          <w:szCs w:val="21"/>
        </w:rPr>
        <w:t>东</w:t>
      </w:r>
      <w:r>
        <w:rPr>
          <w:rFonts w:hint="eastAsia" w:ascii="MS PGothic" w:hAnsi="MS PGothic" w:eastAsia="MS PGothic" w:cs="MS PGothic"/>
          <w:szCs w:val="21"/>
        </w:rPr>
        <w:t>会</w:t>
      </w:r>
      <w:r>
        <w:rPr>
          <w:rFonts w:hint="eastAsia"/>
          <w:szCs w:val="21"/>
        </w:rPr>
        <w:t>*</w:t>
      </w:r>
    </w:p>
    <w:p w14:paraId="15D40719">
      <w:pPr>
        <w:tabs>
          <w:tab w:val="left" w:pos="1260"/>
          <w:tab w:val="left" w:pos="1800"/>
        </w:tabs>
        <w:spacing w:line="240" w:lineRule="exact"/>
        <w:rPr>
          <w:szCs w:val="21"/>
        </w:rPr>
      </w:pPr>
      <w:r>
        <w:rPr>
          <w:rFonts w:hint="eastAsia"/>
          <w:szCs w:val="21"/>
        </w:rPr>
        <w:t>*</w:t>
      </w:r>
      <w:r>
        <w:rPr>
          <w:rFonts w:hint="eastAsia" w:ascii="黑体" w:eastAsia="黑体"/>
          <w:szCs w:val="21"/>
        </w:rPr>
        <w:t xml:space="preserve">文   件   之   </w:t>
      </w:r>
      <w:r>
        <w:rPr>
          <w:rFonts w:hint="eastAsia" w:ascii="宋体" w:hAnsi="宋体"/>
          <w:szCs w:val="21"/>
        </w:rPr>
        <w:t>二</w:t>
      </w:r>
      <w:r>
        <w:rPr>
          <w:rFonts w:hint="eastAsia"/>
          <w:szCs w:val="21"/>
        </w:rPr>
        <w:t>*</w:t>
      </w:r>
    </w:p>
    <w:p w14:paraId="0221014F">
      <w:pPr>
        <w:spacing w:line="240" w:lineRule="exact"/>
        <w:rPr>
          <w:sz w:val="18"/>
          <w:szCs w:val="18"/>
        </w:rPr>
      </w:pPr>
      <w:r>
        <w:rPr>
          <w:rFonts w:hint="eastAsia"/>
          <w:szCs w:val="21"/>
        </w:rPr>
        <w:t>*******************</w:t>
      </w:r>
    </w:p>
    <w:p w14:paraId="473BE228">
      <w:pPr>
        <w:spacing w:line="360" w:lineRule="auto"/>
        <w:jc w:val="center"/>
        <w:rPr>
          <w:rFonts w:hint="eastAsia" w:ascii="黑体" w:hAnsi="黑体" w:eastAsia="黑体" w:cs="黑体"/>
          <w:b/>
          <w:sz w:val="32"/>
          <w:szCs w:val="32"/>
        </w:rPr>
      </w:pPr>
      <w:r>
        <w:rPr>
          <w:rFonts w:hint="eastAsia" w:ascii="黑体" w:hAnsi="黑体" w:eastAsia="黑体" w:cs="黑体"/>
          <w:b/>
          <w:sz w:val="32"/>
          <w:szCs w:val="32"/>
        </w:rPr>
        <w:t>山东好当家海洋发展股份有限公司</w:t>
      </w:r>
    </w:p>
    <w:p w14:paraId="5F5FE3AF">
      <w:pPr>
        <w:spacing w:line="360" w:lineRule="auto"/>
        <w:jc w:val="center"/>
        <w:rPr>
          <w:sz w:val="24"/>
        </w:rPr>
      </w:pPr>
      <w:r>
        <w:rPr>
          <w:rFonts w:hint="eastAsia" w:ascii="黑体" w:eastAsia="黑体"/>
          <w:b/>
          <w:sz w:val="32"/>
          <w:szCs w:val="32"/>
        </w:rPr>
        <w:t>关于2025年年度报告及其摘要的议案</w:t>
      </w:r>
    </w:p>
    <w:p w14:paraId="7CAEA888">
      <w:pPr>
        <w:spacing w:line="360" w:lineRule="auto"/>
        <w:rPr>
          <w:b/>
          <w:sz w:val="28"/>
          <w:szCs w:val="28"/>
        </w:rPr>
      </w:pPr>
    </w:p>
    <w:p w14:paraId="53846231">
      <w:pPr>
        <w:spacing w:line="360" w:lineRule="auto"/>
        <w:rPr>
          <w:b/>
          <w:sz w:val="24"/>
        </w:rPr>
      </w:pPr>
      <w:r>
        <w:rPr>
          <w:b/>
          <w:sz w:val="24"/>
        </w:rPr>
        <w:t>各位</w:t>
      </w:r>
      <w:r>
        <w:rPr>
          <w:rFonts w:hint="eastAsia"/>
          <w:b/>
          <w:sz w:val="24"/>
        </w:rPr>
        <w:t>股东、股东代表</w:t>
      </w:r>
      <w:r>
        <w:rPr>
          <w:b/>
          <w:sz w:val="24"/>
        </w:rPr>
        <w:t>：</w:t>
      </w:r>
    </w:p>
    <w:p w14:paraId="18B7C426">
      <w:pPr>
        <w:spacing w:line="360" w:lineRule="auto"/>
        <w:ind w:firstLine="480"/>
        <w:jc w:val="left"/>
        <w:rPr>
          <w:rFonts w:hint="eastAsia" w:ascii="宋体" w:hAnsi="宋体"/>
          <w:sz w:val="24"/>
        </w:rPr>
      </w:pPr>
      <w:r>
        <w:rPr>
          <w:rFonts w:ascii="宋体" w:hAnsi="宋体"/>
          <w:sz w:val="24"/>
        </w:rPr>
        <w:t>根据公司20</w:t>
      </w:r>
      <w:r>
        <w:rPr>
          <w:rFonts w:hint="eastAsia" w:ascii="宋体" w:hAnsi="宋体"/>
          <w:sz w:val="24"/>
        </w:rPr>
        <w:t>25</w:t>
      </w:r>
      <w:r>
        <w:rPr>
          <w:rFonts w:ascii="宋体" w:hAnsi="宋体"/>
          <w:sz w:val="24"/>
        </w:rPr>
        <w:t>年度的经营成果、年度审计情况并</w:t>
      </w:r>
      <w:r>
        <w:rPr>
          <w:rFonts w:hint="eastAsia" w:ascii="宋体" w:hAnsi="宋体"/>
          <w:sz w:val="24"/>
        </w:rPr>
        <w:t>依</w:t>
      </w:r>
      <w:r>
        <w:rPr>
          <w:rFonts w:hint="eastAsia" w:ascii="宋体" w:hAnsi="宋体" w:cs="宋体"/>
          <w:color w:val="000000"/>
          <w:kern w:val="0"/>
          <w:sz w:val="24"/>
        </w:rPr>
        <w:t>据《上海证券交易所股票上市规则（2025年4月修订）》《上海证券交易所上市公司自律监管指引第1号——规范运作（2025年5月修订）》</w:t>
      </w:r>
      <w:r>
        <w:rPr>
          <w:rFonts w:ascii="宋体" w:hAnsi="宋体"/>
          <w:sz w:val="24"/>
        </w:rPr>
        <w:t>等有关规定的相关要求</w:t>
      </w:r>
      <w:r>
        <w:rPr>
          <w:rFonts w:hint="eastAsia" w:ascii="宋体" w:hAnsi="宋体"/>
          <w:sz w:val="24"/>
        </w:rPr>
        <w:t>，</w:t>
      </w:r>
      <w:r>
        <w:rPr>
          <w:rFonts w:ascii="宋体" w:hAnsi="宋体"/>
          <w:sz w:val="24"/>
        </w:rPr>
        <w:t>我们编制了《山东好当家海洋发展股份有限公司20</w:t>
      </w:r>
      <w:r>
        <w:rPr>
          <w:rFonts w:hint="eastAsia" w:ascii="宋体" w:hAnsi="宋体"/>
          <w:sz w:val="24"/>
        </w:rPr>
        <w:t>25</w:t>
      </w:r>
      <w:r>
        <w:rPr>
          <w:rFonts w:ascii="宋体" w:hAnsi="宋体"/>
          <w:sz w:val="24"/>
        </w:rPr>
        <w:t>年年度报告》及《山东好当家海洋发展股份有限公司20</w:t>
      </w:r>
      <w:r>
        <w:rPr>
          <w:rFonts w:hint="eastAsia" w:ascii="宋体" w:hAnsi="宋体"/>
          <w:sz w:val="24"/>
        </w:rPr>
        <w:t>25</w:t>
      </w:r>
      <w:r>
        <w:rPr>
          <w:rFonts w:ascii="宋体" w:hAnsi="宋体"/>
          <w:sz w:val="24"/>
        </w:rPr>
        <w:t>年年度报告摘要》，供各位</w:t>
      </w:r>
      <w:r>
        <w:rPr>
          <w:rFonts w:hint="eastAsia" w:ascii="宋体" w:hAnsi="宋体"/>
          <w:sz w:val="24"/>
        </w:rPr>
        <w:t>股东</w:t>
      </w:r>
      <w:r>
        <w:rPr>
          <w:rFonts w:ascii="宋体" w:hAnsi="宋体"/>
          <w:sz w:val="24"/>
        </w:rPr>
        <w:t>对公司的整体经营状况进行审核。</w:t>
      </w:r>
    </w:p>
    <w:p w14:paraId="5CECB12E">
      <w:pPr>
        <w:spacing w:line="360" w:lineRule="auto"/>
        <w:ind w:firstLine="480"/>
        <w:jc w:val="right"/>
        <w:rPr>
          <w:rFonts w:hint="eastAsia" w:ascii="宋体" w:hAnsi="宋体"/>
          <w:sz w:val="24"/>
        </w:rPr>
      </w:pPr>
    </w:p>
    <w:p w14:paraId="7F562792">
      <w:pPr>
        <w:spacing w:line="360" w:lineRule="auto"/>
        <w:ind w:firstLine="480"/>
        <w:jc w:val="right"/>
        <w:rPr>
          <w:rFonts w:hint="eastAsia" w:ascii="宋体" w:hAnsi="宋体"/>
          <w:sz w:val="24"/>
        </w:rPr>
      </w:pPr>
    </w:p>
    <w:p w14:paraId="27390187">
      <w:pPr>
        <w:spacing w:line="360" w:lineRule="auto"/>
        <w:ind w:firstLine="480"/>
        <w:jc w:val="right"/>
        <w:rPr>
          <w:rFonts w:hint="eastAsia" w:ascii="宋体" w:hAnsi="宋体"/>
          <w:sz w:val="24"/>
        </w:rPr>
      </w:pPr>
    </w:p>
    <w:p w14:paraId="50FC6AB0">
      <w:pPr>
        <w:spacing w:line="360" w:lineRule="auto"/>
        <w:ind w:firstLine="480"/>
        <w:jc w:val="right"/>
        <w:rPr>
          <w:rFonts w:hint="eastAsia" w:ascii="宋体" w:hAnsi="宋体"/>
          <w:sz w:val="24"/>
        </w:rPr>
      </w:pPr>
    </w:p>
    <w:p w14:paraId="7E95C92F">
      <w:pPr>
        <w:spacing w:line="360" w:lineRule="auto"/>
        <w:ind w:firstLine="480"/>
        <w:jc w:val="right"/>
        <w:rPr>
          <w:rFonts w:hint="eastAsia" w:ascii="宋体" w:hAnsi="宋体"/>
          <w:sz w:val="24"/>
        </w:rPr>
      </w:pPr>
      <w:r>
        <w:rPr>
          <w:rFonts w:ascii="宋体" w:hAnsi="宋体"/>
          <w:sz w:val="24"/>
        </w:rPr>
        <w:t xml:space="preserve">                        山东好当家海洋发展股份有限公司</w:t>
      </w:r>
    </w:p>
    <w:p w14:paraId="53541BD1">
      <w:pPr>
        <w:spacing w:line="360" w:lineRule="auto"/>
        <w:ind w:firstLine="5102" w:firstLineChars="2126"/>
        <w:jc w:val="right"/>
        <w:rPr>
          <w:rFonts w:hint="eastAsia" w:ascii="宋体" w:hAnsi="宋体"/>
          <w:sz w:val="24"/>
        </w:rPr>
      </w:pPr>
      <w:r>
        <w:rPr>
          <w:rFonts w:hint="eastAsia" w:ascii="宋体" w:hAnsi="宋体"/>
          <w:sz w:val="24"/>
        </w:rPr>
        <w:t>董事会</w:t>
      </w:r>
    </w:p>
    <w:p w14:paraId="5CBBF19F">
      <w:pPr>
        <w:spacing w:line="360" w:lineRule="auto"/>
        <w:ind w:firstLine="480"/>
        <w:jc w:val="right"/>
        <w:rPr>
          <w:rFonts w:hint="eastAsia" w:ascii="宋体" w:hAnsi="宋体"/>
          <w:sz w:val="24"/>
        </w:rPr>
      </w:pPr>
      <w:r>
        <w:rPr>
          <w:rFonts w:ascii="宋体" w:hAnsi="宋体"/>
          <w:sz w:val="24"/>
        </w:rPr>
        <w:t xml:space="preserve">                                  20</w:t>
      </w:r>
      <w:r>
        <w:rPr>
          <w:rFonts w:hint="eastAsia" w:ascii="宋体" w:hAnsi="宋体"/>
          <w:sz w:val="24"/>
        </w:rPr>
        <w:t>26</w:t>
      </w:r>
      <w:r>
        <w:rPr>
          <w:rFonts w:ascii="宋体" w:hAnsi="宋体"/>
          <w:sz w:val="24"/>
        </w:rPr>
        <w:t>年</w:t>
      </w:r>
      <w:r>
        <w:rPr>
          <w:rFonts w:hint="eastAsia" w:ascii="宋体" w:hAnsi="宋体"/>
          <w:sz w:val="24"/>
        </w:rPr>
        <w:t>5</w:t>
      </w:r>
      <w:r>
        <w:rPr>
          <w:rFonts w:ascii="宋体" w:hAnsi="宋体"/>
          <w:sz w:val="24"/>
        </w:rPr>
        <w:t>月</w:t>
      </w:r>
      <w:r>
        <w:rPr>
          <w:rFonts w:hint="eastAsia" w:ascii="宋体" w:hAnsi="宋体"/>
          <w:sz w:val="24"/>
        </w:rPr>
        <w:t>18</w:t>
      </w:r>
      <w:r>
        <w:rPr>
          <w:rFonts w:ascii="宋体" w:hAnsi="宋体"/>
          <w:sz w:val="24"/>
        </w:rPr>
        <w:t>日</w:t>
      </w:r>
    </w:p>
    <w:p w14:paraId="313152A7">
      <w:pPr>
        <w:spacing w:line="360" w:lineRule="auto"/>
        <w:rPr>
          <w:rFonts w:hint="eastAsia" w:ascii="宋体" w:hAnsi="宋体"/>
          <w:sz w:val="28"/>
          <w:szCs w:val="28"/>
        </w:rPr>
      </w:pPr>
    </w:p>
    <w:p w14:paraId="4C3CAE1A">
      <w:pPr>
        <w:spacing w:line="360" w:lineRule="auto"/>
        <w:rPr>
          <w:rFonts w:hint="eastAsia" w:ascii="宋体" w:hAnsi="宋体"/>
          <w:sz w:val="28"/>
          <w:szCs w:val="28"/>
        </w:rPr>
      </w:pPr>
    </w:p>
    <w:p w14:paraId="4EF008B1">
      <w:pPr>
        <w:spacing w:line="360" w:lineRule="auto"/>
        <w:rPr>
          <w:rFonts w:hint="eastAsia" w:ascii="宋体" w:hAnsi="宋体"/>
          <w:sz w:val="28"/>
          <w:szCs w:val="28"/>
        </w:rPr>
      </w:pPr>
    </w:p>
    <w:p w14:paraId="698A41B2">
      <w:pPr>
        <w:spacing w:line="360" w:lineRule="auto"/>
        <w:rPr>
          <w:rFonts w:hint="eastAsia" w:ascii="宋体" w:hAnsi="宋体"/>
          <w:sz w:val="28"/>
          <w:szCs w:val="28"/>
        </w:rPr>
      </w:pPr>
    </w:p>
    <w:p w14:paraId="780729DE">
      <w:pPr>
        <w:spacing w:line="360" w:lineRule="auto"/>
        <w:rPr>
          <w:rFonts w:hint="eastAsia" w:ascii="宋体" w:hAnsi="宋体"/>
          <w:sz w:val="28"/>
          <w:szCs w:val="28"/>
        </w:rPr>
      </w:pPr>
    </w:p>
    <w:p w14:paraId="45DE328B">
      <w:pPr>
        <w:spacing w:line="360" w:lineRule="auto"/>
        <w:rPr>
          <w:rFonts w:hint="eastAsia" w:ascii="宋体" w:hAnsi="宋体"/>
          <w:sz w:val="28"/>
          <w:szCs w:val="28"/>
        </w:rPr>
      </w:pPr>
    </w:p>
    <w:p w14:paraId="7845D2F0">
      <w:pPr>
        <w:spacing w:line="360" w:lineRule="auto"/>
        <w:rPr>
          <w:rFonts w:hint="eastAsia" w:ascii="宋体" w:hAnsi="宋体"/>
          <w:sz w:val="28"/>
          <w:szCs w:val="28"/>
        </w:rPr>
      </w:pPr>
    </w:p>
    <w:p w14:paraId="29BA363A">
      <w:pPr>
        <w:tabs>
          <w:tab w:val="left" w:pos="1620"/>
        </w:tabs>
        <w:spacing w:line="240" w:lineRule="exact"/>
        <w:rPr>
          <w:szCs w:val="21"/>
        </w:rPr>
      </w:pPr>
      <w:r>
        <w:rPr>
          <w:rFonts w:hint="eastAsia"/>
          <w:szCs w:val="21"/>
        </w:rPr>
        <w:t>*******************</w:t>
      </w:r>
    </w:p>
    <w:p w14:paraId="67BF1E6B">
      <w:pPr>
        <w:spacing w:line="240" w:lineRule="exact"/>
        <w:rPr>
          <w:szCs w:val="21"/>
        </w:rPr>
      </w:pPr>
      <w:r>
        <w:rPr>
          <w:rFonts w:hint="eastAsia"/>
          <w:szCs w:val="21"/>
        </w:rPr>
        <w:t>*</w:t>
      </w:r>
      <w:r>
        <w:rPr>
          <w:rFonts w:ascii="Tahoma" w:hAnsi="Tahoma" w:eastAsia="MS PGothic" w:cs="Tahoma"/>
          <w:szCs w:val="21"/>
        </w:rPr>
        <w:t>20</w:t>
      </w:r>
      <w:r>
        <w:rPr>
          <w:rFonts w:hint="eastAsia" w:ascii="Tahoma" w:hAnsi="Tahoma" w:cs="Tahoma"/>
          <w:szCs w:val="21"/>
        </w:rPr>
        <w:t>25年</w:t>
      </w:r>
      <w:r>
        <w:rPr>
          <w:rFonts w:ascii="Tahoma" w:hAnsi="Tahoma" w:eastAsia="MS PGothic" w:cs="Tahoma"/>
          <w:szCs w:val="21"/>
        </w:rPr>
        <w:t>年度股</w:t>
      </w:r>
      <w:r>
        <w:rPr>
          <w:rFonts w:hint="eastAsia" w:ascii="宋体" w:hAnsi="宋体" w:cs="宋体"/>
          <w:szCs w:val="21"/>
        </w:rPr>
        <w:t>东</w:t>
      </w:r>
      <w:r>
        <w:rPr>
          <w:rFonts w:hint="eastAsia" w:ascii="MS PGothic" w:hAnsi="MS PGothic" w:eastAsia="MS PGothic" w:cs="MS PGothic"/>
          <w:szCs w:val="21"/>
        </w:rPr>
        <w:t>会</w:t>
      </w:r>
      <w:r>
        <w:rPr>
          <w:rFonts w:hint="eastAsia"/>
          <w:szCs w:val="21"/>
        </w:rPr>
        <w:t>*</w:t>
      </w:r>
    </w:p>
    <w:p w14:paraId="29FED66C">
      <w:pPr>
        <w:tabs>
          <w:tab w:val="left" w:pos="1260"/>
          <w:tab w:val="left" w:pos="1800"/>
        </w:tabs>
        <w:spacing w:line="240" w:lineRule="exact"/>
        <w:rPr>
          <w:szCs w:val="21"/>
        </w:rPr>
      </w:pPr>
      <w:r>
        <w:rPr>
          <w:rFonts w:hint="eastAsia"/>
          <w:szCs w:val="21"/>
        </w:rPr>
        <w:t>*</w:t>
      </w:r>
      <w:r>
        <w:rPr>
          <w:rFonts w:hint="eastAsia" w:ascii="黑体" w:eastAsia="黑体"/>
          <w:szCs w:val="21"/>
        </w:rPr>
        <w:t>文   件   之   三</w:t>
      </w:r>
      <w:r>
        <w:rPr>
          <w:rFonts w:hint="eastAsia"/>
          <w:szCs w:val="21"/>
        </w:rPr>
        <w:t>*</w:t>
      </w:r>
    </w:p>
    <w:p w14:paraId="3074C820">
      <w:pPr>
        <w:spacing w:line="240" w:lineRule="exact"/>
        <w:rPr>
          <w:szCs w:val="21"/>
        </w:rPr>
      </w:pPr>
      <w:r>
        <w:rPr>
          <w:rFonts w:hint="eastAsia"/>
          <w:szCs w:val="21"/>
        </w:rPr>
        <w:t>*******************</w:t>
      </w:r>
    </w:p>
    <w:p w14:paraId="0B2E33C4">
      <w:pPr>
        <w:spacing w:line="240" w:lineRule="exact"/>
      </w:pPr>
    </w:p>
    <w:p w14:paraId="0684AC44">
      <w:pPr>
        <w:pStyle w:val="25"/>
        <w:spacing w:line="400" w:lineRule="exact"/>
        <w:jc w:val="center"/>
        <w:rPr>
          <w:rFonts w:hint="eastAsia" w:ascii="黑体" w:hAnsi="宋体" w:eastAsia="黑体"/>
          <w:b/>
          <w:sz w:val="32"/>
          <w:szCs w:val="32"/>
          <w:lang w:eastAsia="zh-CN"/>
        </w:rPr>
      </w:pPr>
      <w:r>
        <w:rPr>
          <w:rFonts w:hint="eastAsia" w:ascii="黑体" w:hAnsi="宋体" w:eastAsia="黑体"/>
          <w:b/>
          <w:sz w:val="32"/>
          <w:szCs w:val="32"/>
          <w:lang w:eastAsia="zh-CN"/>
        </w:rPr>
        <w:t>山东好当家海洋发展股份有限公司</w:t>
      </w:r>
    </w:p>
    <w:p w14:paraId="2AD159D0">
      <w:pPr>
        <w:pStyle w:val="25"/>
        <w:spacing w:line="400" w:lineRule="exact"/>
        <w:jc w:val="center"/>
        <w:rPr>
          <w:rFonts w:hint="eastAsia" w:ascii="宋体" w:hAnsi="宋体"/>
          <w:sz w:val="24"/>
          <w:szCs w:val="24"/>
          <w:lang w:eastAsia="zh-CN"/>
        </w:rPr>
      </w:pPr>
      <w:r>
        <w:rPr>
          <w:rFonts w:hint="eastAsia" w:ascii="黑体" w:hAnsi="宋体" w:eastAsia="黑体"/>
          <w:b/>
          <w:sz w:val="32"/>
          <w:szCs w:val="32"/>
          <w:lang w:eastAsia="zh-CN"/>
        </w:rPr>
        <w:t>2025年度财务决算报告</w:t>
      </w:r>
    </w:p>
    <w:p w14:paraId="3C6F4160">
      <w:pPr>
        <w:spacing w:line="360" w:lineRule="auto"/>
        <w:rPr>
          <w:b/>
          <w:sz w:val="28"/>
          <w:szCs w:val="28"/>
        </w:rPr>
      </w:pPr>
      <w:r>
        <w:rPr>
          <w:b/>
          <w:sz w:val="28"/>
          <w:szCs w:val="28"/>
        </w:rPr>
        <w:t>各位</w:t>
      </w:r>
      <w:r>
        <w:rPr>
          <w:rFonts w:hint="eastAsia"/>
          <w:b/>
          <w:sz w:val="28"/>
          <w:szCs w:val="28"/>
        </w:rPr>
        <w:t>股东、股东代表</w:t>
      </w:r>
      <w:r>
        <w:rPr>
          <w:b/>
          <w:sz w:val="28"/>
          <w:szCs w:val="28"/>
        </w:rPr>
        <w:t>：</w:t>
      </w:r>
    </w:p>
    <w:p w14:paraId="132BDE4A">
      <w:pPr>
        <w:spacing w:line="360" w:lineRule="auto"/>
        <w:jc w:val="center"/>
        <w:rPr>
          <w:sz w:val="24"/>
        </w:rPr>
      </w:pPr>
    </w:p>
    <w:p w14:paraId="14FB6B44">
      <w:pPr>
        <w:pStyle w:val="25"/>
        <w:spacing w:line="400" w:lineRule="exact"/>
        <w:rPr>
          <w:rFonts w:hint="eastAsia" w:ascii="宋体" w:hAnsi="宋体"/>
          <w:sz w:val="24"/>
          <w:szCs w:val="24"/>
          <w:lang w:eastAsia="zh-CN"/>
        </w:rPr>
      </w:pPr>
      <w:r>
        <w:rPr>
          <w:rFonts w:hint="eastAsia" w:ascii="宋体" w:hAnsi="宋体"/>
          <w:sz w:val="24"/>
          <w:szCs w:val="24"/>
          <w:lang w:eastAsia="zh-CN"/>
        </w:rPr>
        <w:t xml:space="preserve">    现将2025年度财务决算情况向各位股东汇报，请各位股东审议。</w:t>
      </w:r>
    </w:p>
    <w:p w14:paraId="0C4ED3E4">
      <w:pPr>
        <w:pStyle w:val="25"/>
        <w:spacing w:line="400" w:lineRule="exact"/>
        <w:rPr>
          <w:rFonts w:hint="eastAsia" w:ascii="宋体" w:hAnsi="宋体"/>
          <w:b/>
          <w:sz w:val="24"/>
          <w:szCs w:val="24"/>
          <w:lang w:eastAsia="zh-CN"/>
        </w:rPr>
      </w:pPr>
      <w:r>
        <w:rPr>
          <w:rFonts w:hint="eastAsia" w:ascii="宋体" w:hAnsi="宋体"/>
          <w:b/>
          <w:sz w:val="24"/>
          <w:szCs w:val="24"/>
          <w:lang w:eastAsia="zh-CN"/>
        </w:rPr>
        <w:t xml:space="preserve">    一、2025年财务决算完成情况:</w:t>
      </w:r>
    </w:p>
    <w:p w14:paraId="4723908B">
      <w:pPr>
        <w:pStyle w:val="25"/>
        <w:spacing w:line="400" w:lineRule="exact"/>
        <w:ind w:firstLine="480" w:firstLineChars="200"/>
        <w:rPr>
          <w:rFonts w:hint="eastAsia" w:ascii="宋体" w:hAnsi="宋体"/>
          <w:sz w:val="24"/>
          <w:szCs w:val="24"/>
          <w:lang w:eastAsia="zh-CN"/>
        </w:rPr>
      </w:pPr>
      <w:r>
        <w:rPr>
          <w:rFonts w:hint="eastAsia" w:ascii="宋体" w:hAnsi="宋体"/>
          <w:sz w:val="24"/>
          <w:szCs w:val="24"/>
          <w:lang w:eastAsia="zh-CN"/>
        </w:rPr>
        <w:t>（一）财务收支损益与去年同期对比完成情况：</w:t>
      </w:r>
    </w:p>
    <w:p w14:paraId="3A6CFF9C">
      <w:pPr>
        <w:pStyle w:val="25"/>
        <w:spacing w:line="500" w:lineRule="exact"/>
        <w:ind w:firstLine="480" w:firstLineChars="200"/>
        <w:rPr>
          <w:rFonts w:hint="eastAsia" w:ascii="宋体" w:hAnsi="宋体"/>
          <w:sz w:val="24"/>
          <w:szCs w:val="24"/>
          <w:lang w:eastAsia="zh-CN"/>
        </w:rPr>
      </w:pPr>
      <w:r>
        <w:rPr>
          <w:rFonts w:hint="eastAsia" w:ascii="宋体" w:hAnsi="宋体"/>
          <w:sz w:val="24"/>
          <w:szCs w:val="24"/>
          <w:lang w:eastAsia="zh-CN"/>
        </w:rPr>
        <w:t>2025年度累计实现营业收入1,051,302,734.38元，比同期降低25.76％。完成归属于母公司普通股股东的净利润为29,872,348.03元，比同期降低31.21％。基本每股收益0.02元，比同期持平。加权平均净资产收益率为0.88％。</w:t>
      </w:r>
    </w:p>
    <w:p w14:paraId="0296D8B8">
      <w:pPr>
        <w:pStyle w:val="25"/>
        <w:spacing w:line="15" w:lineRule="auto"/>
        <w:ind w:firstLine="480" w:firstLineChars="200"/>
        <w:rPr>
          <w:rFonts w:hint="eastAsia" w:ascii="宋体" w:hAnsi="宋体" w:cs="宋体"/>
          <w:sz w:val="24"/>
          <w:szCs w:val="24"/>
          <w:lang w:eastAsia="zh-CN"/>
        </w:rPr>
      </w:pPr>
      <w:r>
        <w:rPr>
          <w:rFonts w:hint="eastAsia" w:ascii="宋体" w:hAnsi="宋体"/>
          <w:sz w:val="24"/>
          <w:szCs w:val="24"/>
          <w:lang w:eastAsia="zh-CN"/>
        </w:rPr>
        <w:t>(二)各会计</w:t>
      </w:r>
      <w:r>
        <w:rPr>
          <w:rFonts w:hint="eastAsia" w:ascii="宋体" w:hAnsi="宋体" w:cs="宋体"/>
          <w:sz w:val="24"/>
          <w:szCs w:val="24"/>
          <w:lang w:eastAsia="zh-CN"/>
        </w:rPr>
        <w:t>科目指标与同期比较:                       单位：元</w:t>
      </w:r>
    </w:p>
    <w:tbl>
      <w:tblPr>
        <w:tblStyle w:val="11"/>
        <w:tblpPr w:leftFromText="180" w:rightFromText="180" w:vertAnchor="text" w:horzAnchor="page" w:tblpXSpec="center" w:tblpY="542"/>
        <w:tblOverlap w:val="never"/>
        <w:tblW w:w="8338" w:type="dxa"/>
        <w:jc w:val="center"/>
        <w:tblLayout w:type="autofit"/>
        <w:tblCellMar>
          <w:top w:w="0" w:type="dxa"/>
          <w:left w:w="108" w:type="dxa"/>
          <w:bottom w:w="0" w:type="dxa"/>
          <w:right w:w="108" w:type="dxa"/>
        </w:tblCellMar>
      </w:tblPr>
      <w:tblGrid>
        <w:gridCol w:w="3082"/>
        <w:gridCol w:w="2160"/>
        <w:gridCol w:w="2040"/>
        <w:gridCol w:w="1056"/>
      </w:tblGrid>
      <w:tr w14:paraId="049D94B6">
        <w:tblPrEx>
          <w:tblCellMar>
            <w:top w:w="0" w:type="dxa"/>
            <w:left w:w="108" w:type="dxa"/>
            <w:bottom w:w="0" w:type="dxa"/>
            <w:right w:w="108" w:type="dxa"/>
          </w:tblCellMar>
        </w:tblPrEx>
        <w:trPr>
          <w:trHeight w:val="448" w:hRule="atLeast"/>
          <w:tblHeader/>
          <w:jc w:val="center"/>
        </w:trPr>
        <w:tc>
          <w:tcPr>
            <w:tcW w:w="3082" w:type="dxa"/>
            <w:tcBorders>
              <w:top w:val="single" w:color="auto" w:sz="4" w:space="0"/>
              <w:left w:val="single" w:color="auto" w:sz="4" w:space="0"/>
              <w:bottom w:val="single" w:color="auto" w:sz="4" w:space="0"/>
              <w:right w:val="single" w:color="auto" w:sz="4" w:space="0"/>
            </w:tcBorders>
            <w:noWrap/>
            <w:vAlign w:val="center"/>
          </w:tcPr>
          <w:p w14:paraId="7004C489">
            <w:pPr>
              <w:widowControl/>
              <w:jc w:val="left"/>
              <w:textAlignment w:val="center"/>
              <w:rPr>
                <w:color w:val="000000"/>
                <w:kern w:val="0"/>
                <w:szCs w:val="21"/>
              </w:rPr>
            </w:pPr>
            <w:r>
              <w:rPr>
                <w:color w:val="000000"/>
                <w:kern w:val="0"/>
                <w:szCs w:val="21"/>
                <w:lang w:bidi="ar"/>
              </w:rPr>
              <w:t xml:space="preserve">项 </w:t>
            </w:r>
            <w:r>
              <w:rPr>
                <w:rStyle w:val="31"/>
                <w:rFonts w:hint="default" w:ascii="Times New Roman" w:hAnsi="Times New Roman" w:cs="Times New Roman"/>
                <w:lang w:bidi="ar"/>
              </w:rPr>
              <w:t xml:space="preserve">     目</w:t>
            </w:r>
          </w:p>
        </w:tc>
        <w:tc>
          <w:tcPr>
            <w:tcW w:w="2160" w:type="dxa"/>
            <w:tcBorders>
              <w:top w:val="single" w:color="auto" w:sz="4" w:space="0"/>
              <w:left w:val="nil"/>
              <w:bottom w:val="single" w:color="auto" w:sz="4" w:space="0"/>
              <w:right w:val="single" w:color="auto" w:sz="4" w:space="0"/>
            </w:tcBorders>
            <w:noWrap/>
            <w:vAlign w:val="center"/>
          </w:tcPr>
          <w:p w14:paraId="01F4B6BC">
            <w:pPr>
              <w:widowControl/>
              <w:jc w:val="center"/>
              <w:textAlignment w:val="center"/>
              <w:rPr>
                <w:color w:val="000000"/>
                <w:kern w:val="0"/>
                <w:szCs w:val="21"/>
              </w:rPr>
            </w:pPr>
            <w:r>
              <w:rPr>
                <w:color w:val="000000"/>
                <w:kern w:val="0"/>
                <w:szCs w:val="21"/>
                <w:lang w:bidi="ar"/>
              </w:rPr>
              <w:t>2025年度</w:t>
            </w:r>
          </w:p>
        </w:tc>
        <w:tc>
          <w:tcPr>
            <w:tcW w:w="2040" w:type="dxa"/>
            <w:tcBorders>
              <w:top w:val="single" w:color="auto" w:sz="4" w:space="0"/>
              <w:left w:val="nil"/>
              <w:bottom w:val="single" w:color="auto" w:sz="4" w:space="0"/>
              <w:right w:val="single" w:color="auto" w:sz="4" w:space="0"/>
            </w:tcBorders>
            <w:noWrap/>
            <w:vAlign w:val="center"/>
          </w:tcPr>
          <w:p w14:paraId="2412F130">
            <w:pPr>
              <w:widowControl/>
              <w:jc w:val="center"/>
              <w:textAlignment w:val="center"/>
              <w:rPr>
                <w:color w:val="000000"/>
                <w:kern w:val="0"/>
                <w:szCs w:val="21"/>
              </w:rPr>
            </w:pPr>
            <w:r>
              <w:rPr>
                <w:color w:val="000000"/>
                <w:kern w:val="0"/>
                <w:szCs w:val="21"/>
                <w:lang w:bidi="ar"/>
              </w:rPr>
              <w:t>2024年度</w:t>
            </w:r>
          </w:p>
        </w:tc>
        <w:tc>
          <w:tcPr>
            <w:tcW w:w="1056" w:type="dxa"/>
            <w:tcBorders>
              <w:top w:val="single" w:color="auto" w:sz="4" w:space="0"/>
              <w:left w:val="nil"/>
              <w:bottom w:val="single" w:color="auto" w:sz="4" w:space="0"/>
              <w:right w:val="single" w:color="auto" w:sz="4" w:space="0"/>
            </w:tcBorders>
            <w:noWrap/>
            <w:vAlign w:val="center"/>
          </w:tcPr>
          <w:p w14:paraId="05BB7C56">
            <w:pPr>
              <w:widowControl/>
              <w:jc w:val="center"/>
              <w:textAlignment w:val="center"/>
              <w:rPr>
                <w:color w:val="000000"/>
                <w:kern w:val="0"/>
                <w:szCs w:val="21"/>
              </w:rPr>
            </w:pPr>
            <w:r>
              <w:rPr>
                <w:color w:val="000000"/>
                <w:kern w:val="0"/>
                <w:szCs w:val="21"/>
                <w:lang w:bidi="ar"/>
              </w:rPr>
              <w:t>增减(%)</w:t>
            </w:r>
          </w:p>
        </w:tc>
      </w:tr>
      <w:tr w14:paraId="5527D9D8">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2C5EB6B3">
            <w:pPr>
              <w:rPr>
                <w:rFonts w:hint="eastAsia" w:ascii="宋体" w:hAnsi="宋体" w:cs="宋体"/>
                <w:color w:val="000000"/>
                <w:kern w:val="0"/>
                <w:szCs w:val="21"/>
              </w:rPr>
            </w:pPr>
            <w:r>
              <w:rPr>
                <w:rFonts w:hint="eastAsia" w:cs="宋体"/>
                <w:kern w:val="0"/>
                <w:szCs w:val="21"/>
                <w:lang w:bidi="ar"/>
              </w:rPr>
              <w:t>货币资金</w:t>
            </w:r>
          </w:p>
        </w:tc>
        <w:tc>
          <w:tcPr>
            <w:tcW w:w="2160" w:type="dxa"/>
            <w:tcBorders>
              <w:top w:val="nil"/>
              <w:left w:val="nil"/>
              <w:bottom w:val="single" w:color="auto" w:sz="4" w:space="0"/>
              <w:right w:val="single" w:color="auto" w:sz="4" w:space="0"/>
            </w:tcBorders>
            <w:noWrap/>
            <w:vAlign w:val="center"/>
          </w:tcPr>
          <w:p w14:paraId="4893CDCA">
            <w:pPr>
              <w:jc w:val="right"/>
              <w:rPr>
                <w:rFonts w:hint="eastAsia" w:ascii="宋体" w:hAnsi="宋体" w:cs="宋体"/>
                <w:color w:val="000000"/>
                <w:kern w:val="0"/>
                <w:szCs w:val="21"/>
              </w:rPr>
            </w:pPr>
            <w:r>
              <w:rPr>
                <w:kern w:val="0"/>
                <w:szCs w:val="21"/>
                <w:lang w:bidi="ar"/>
              </w:rPr>
              <w:t>439,939,019.02</w:t>
            </w:r>
          </w:p>
        </w:tc>
        <w:tc>
          <w:tcPr>
            <w:tcW w:w="2040" w:type="dxa"/>
            <w:tcBorders>
              <w:top w:val="nil"/>
              <w:left w:val="nil"/>
              <w:bottom w:val="single" w:color="auto" w:sz="4" w:space="0"/>
              <w:right w:val="single" w:color="auto" w:sz="4" w:space="0"/>
            </w:tcBorders>
            <w:noWrap/>
          </w:tcPr>
          <w:p w14:paraId="694A9346">
            <w:pPr>
              <w:jc w:val="right"/>
              <w:rPr>
                <w:rFonts w:hint="eastAsia" w:ascii="宋体" w:hAnsi="宋体" w:cs="宋体"/>
                <w:color w:val="000000"/>
                <w:kern w:val="0"/>
                <w:szCs w:val="21"/>
              </w:rPr>
            </w:pPr>
            <w:r>
              <w:rPr>
                <w:kern w:val="0"/>
                <w:szCs w:val="21"/>
                <w:lang w:bidi="ar"/>
              </w:rPr>
              <w:t>414,493,565.40</w:t>
            </w:r>
          </w:p>
        </w:tc>
        <w:tc>
          <w:tcPr>
            <w:tcW w:w="1056" w:type="dxa"/>
            <w:tcBorders>
              <w:top w:val="nil"/>
              <w:left w:val="nil"/>
              <w:bottom w:val="single" w:color="auto" w:sz="4" w:space="0"/>
              <w:right w:val="single" w:color="auto" w:sz="4" w:space="0"/>
            </w:tcBorders>
            <w:noWrap/>
            <w:vAlign w:val="center"/>
          </w:tcPr>
          <w:p w14:paraId="6D00DCE9">
            <w:pPr>
              <w:jc w:val="right"/>
              <w:rPr>
                <w:rFonts w:hint="eastAsia" w:ascii="宋体" w:hAnsi="宋体" w:cs="宋体"/>
                <w:color w:val="000000"/>
                <w:kern w:val="0"/>
                <w:szCs w:val="21"/>
              </w:rPr>
            </w:pPr>
            <w:r>
              <w:rPr>
                <w:color w:val="000000"/>
                <w:kern w:val="0"/>
                <w:szCs w:val="21"/>
                <w:lang w:bidi="ar"/>
              </w:rPr>
              <w:t>6.14</w:t>
            </w:r>
          </w:p>
        </w:tc>
      </w:tr>
      <w:tr w14:paraId="48AB574F">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74DD0F67">
            <w:pPr>
              <w:rPr>
                <w:rFonts w:hint="eastAsia" w:ascii="宋体" w:hAnsi="宋体" w:cs="宋体"/>
                <w:color w:val="000000"/>
                <w:kern w:val="0"/>
                <w:szCs w:val="21"/>
              </w:rPr>
            </w:pPr>
            <w:r>
              <w:rPr>
                <w:rFonts w:hint="eastAsia" w:cs="宋体"/>
                <w:kern w:val="0"/>
                <w:szCs w:val="21"/>
                <w:lang w:bidi="ar"/>
              </w:rPr>
              <w:t>应收票据</w:t>
            </w:r>
          </w:p>
        </w:tc>
        <w:tc>
          <w:tcPr>
            <w:tcW w:w="2160" w:type="dxa"/>
            <w:tcBorders>
              <w:top w:val="nil"/>
              <w:left w:val="nil"/>
              <w:bottom w:val="single" w:color="auto" w:sz="4" w:space="0"/>
              <w:right w:val="single" w:color="auto" w:sz="4" w:space="0"/>
            </w:tcBorders>
            <w:noWrap/>
            <w:vAlign w:val="center"/>
          </w:tcPr>
          <w:p w14:paraId="5FA4DDC0">
            <w:pPr>
              <w:jc w:val="right"/>
              <w:rPr>
                <w:rFonts w:hint="eastAsia" w:ascii="宋体" w:hAnsi="宋体" w:cs="宋体"/>
                <w:color w:val="000000"/>
                <w:kern w:val="0"/>
                <w:szCs w:val="21"/>
              </w:rPr>
            </w:pPr>
            <w:r>
              <w:rPr>
                <w:kern w:val="0"/>
                <w:szCs w:val="21"/>
                <w:lang w:bidi="ar"/>
              </w:rPr>
              <w:t>23,833.68</w:t>
            </w:r>
          </w:p>
        </w:tc>
        <w:tc>
          <w:tcPr>
            <w:tcW w:w="2040" w:type="dxa"/>
            <w:tcBorders>
              <w:top w:val="nil"/>
              <w:left w:val="nil"/>
              <w:bottom w:val="single" w:color="auto" w:sz="4" w:space="0"/>
              <w:right w:val="single" w:color="auto" w:sz="4" w:space="0"/>
            </w:tcBorders>
            <w:noWrap/>
          </w:tcPr>
          <w:p w14:paraId="52DBE7FD">
            <w:pPr>
              <w:jc w:val="right"/>
              <w:rPr>
                <w:rFonts w:hint="eastAsia" w:ascii="宋体" w:hAnsi="宋体" w:cs="宋体"/>
                <w:color w:val="000000"/>
                <w:kern w:val="0"/>
                <w:szCs w:val="21"/>
              </w:rPr>
            </w:pPr>
            <w:r>
              <w:rPr>
                <w:kern w:val="0"/>
                <w:szCs w:val="21"/>
                <w:lang w:bidi="ar"/>
              </w:rPr>
              <w:t>51,500,000.00</w:t>
            </w:r>
          </w:p>
        </w:tc>
        <w:tc>
          <w:tcPr>
            <w:tcW w:w="1056" w:type="dxa"/>
            <w:tcBorders>
              <w:top w:val="nil"/>
              <w:left w:val="nil"/>
              <w:bottom w:val="single" w:color="auto" w:sz="4" w:space="0"/>
              <w:right w:val="single" w:color="auto" w:sz="4" w:space="0"/>
            </w:tcBorders>
            <w:noWrap/>
            <w:vAlign w:val="center"/>
          </w:tcPr>
          <w:p w14:paraId="595FBB90">
            <w:pPr>
              <w:jc w:val="right"/>
              <w:rPr>
                <w:rFonts w:hint="eastAsia" w:ascii="宋体" w:hAnsi="宋体" w:cs="宋体"/>
                <w:color w:val="000000"/>
                <w:kern w:val="0"/>
                <w:szCs w:val="21"/>
              </w:rPr>
            </w:pPr>
            <w:r>
              <w:rPr>
                <w:color w:val="000000"/>
                <w:kern w:val="0"/>
                <w:szCs w:val="21"/>
                <w:lang w:bidi="ar"/>
              </w:rPr>
              <w:t>-99.95</w:t>
            </w:r>
          </w:p>
        </w:tc>
      </w:tr>
      <w:tr w14:paraId="1309DD4D">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70413CED">
            <w:pPr>
              <w:rPr>
                <w:rFonts w:hint="eastAsia" w:ascii="宋体" w:hAnsi="宋体" w:cs="宋体"/>
                <w:color w:val="000000"/>
                <w:kern w:val="0"/>
                <w:szCs w:val="21"/>
              </w:rPr>
            </w:pPr>
            <w:r>
              <w:rPr>
                <w:rFonts w:hint="eastAsia" w:cs="宋体"/>
                <w:kern w:val="0"/>
                <w:szCs w:val="21"/>
                <w:lang w:bidi="ar"/>
              </w:rPr>
              <w:t>应收账款</w:t>
            </w:r>
          </w:p>
        </w:tc>
        <w:tc>
          <w:tcPr>
            <w:tcW w:w="2160" w:type="dxa"/>
            <w:tcBorders>
              <w:top w:val="nil"/>
              <w:left w:val="nil"/>
              <w:bottom w:val="single" w:color="auto" w:sz="4" w:space="0"/>
              <w:right w:val="single" w:color="auto" w:sz="4" w:space="0"/>
            </w:tcBorders>
            <w:noWrap/>
            <w:vAlign w:val="center"/>
          </w:tcPr>
          <w:p w14:paraId="11CB3807">
            <w:pPr>
              <w:jc w:val="right"/>
              <w:rPr>
                <w:rFonts w:hint="eastAsia" w:ascii="宋体" w:hAnsi="宋体" w:cs="宋体"/>
                <w:color w:val="000000"/>
                <w:kern w:val="0"/>
                <w:szCs w:val="21"/>
              </w:rPr>
            </w:pPr>
            <w:r>
              <w:rPr>
                <w:kern w:val="0"/>
                <w:szCs w:val="21"/>
                <w:lang w:bidi="ar"/>
              </w:rPr>
              <w:t>32,482,966.41</w:t>
            </w:r>
          </w:p>
        </w:tc>
        <w:tc>
          <w:tcPr>
            <w:tcW w:w="2040" w:type="dxa"/>
            <w:tcBorders>
              <w:top w:val="nil"/>
              <w:left w:val="nil"/>
              <w:bottom w:val="single" w:color="auto" w:sz="4" w:space="0"/>
              <w:right w:val="single" w:color="auto" w:sz="4" w:space="0"/>
            </w:tcBorders>
            <w:noWrap/>
          </w:tcPr>
          <w:p w14:paraId="3C31159F">
            <w:pPr>
              <w:jc w:val="right"/>
              <w:rPr>
                <w:rFonts w:hint="eastAsia" w:ascii="宋体" w:hAnsi="宋体" w:cs="宋体"/>
                <w:color w:val="000000"/>
                <w:kern w:val="0"/>
                <w:szCs w:val="21"/>
              </w:rPr>
            </w:pPr>
            <w:r>
              <w:rPr>
                <w:kern w:val="0"/>
                <w:szCs w:val="21"/>
                <w:lang w:bidi="ar"/>
              </w:rPr>
              <w:t>19,275,030.76</w:t>
            </w:r>
          </w:p>
        </w:tc>
        <w:tc>
          <w:tcPr>
            <w:tcW w:w="1056" w:type="dxa"/>
            <w:tcBorders>
              <w:top w:val="nil"/>
              <w:left w:val="nil"/>
              <w:bottom w:val="single" w:color="auto" w:sz="4" w:space="0"/>
              <w:right w:val="single" w:color="auto" w:sz="4" w:space="0"/>
            </w:tcBorders>
            <w:noWrap/>
            <w:vAlign w:val="center"/>
          </w:tcPr>
          <w:p w14:paraId="42174DA0">
            <w:pPr>
              <w:jc w:val="right"/>
              <w:rPr>
                <w:rFonts w:hint="eastAsia" w:ascii="宋体" w:hAnsi="宋体" w:cs="宋体"/>
                <w:color w:val="000000"/>
                <w:kern w:val="0"/>
                <w:szCs w:val="21"/>
              </w:rPr>
            </w:pPr>
            <w:r>
              <w:rPr>
                <w:color w:val="000000"/>
                <w:kern w:val="0"/>
                <w:szCs w:val="21"/>
                <w:lang w:bidi="ar"/>
              </w:rPr>
              <w:t>68.52</w:t>
            </w:r>
          </w:p>
        </w:tc>
      </w:tr>
      <w:tr w14:paraId="4C317D2B">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7C7B9535">
            <w:pPr>
              <w:rPr>
                <w:rFonts w:hint="eastAsia" w:ascii="宋体" w:hAnsi="宋体" w:cs="宋体"/>
                <w:color w:val="000000"/>
                <w:kern w:val="0"/>
                <w:szCs w:val="21"/>
              </w:rPr>
            </w:pPr>
            <w:r>
              <w:rPr>
                <w:rFonts w:hint="eastAsia" w:cs="宋体"/>
                <w:kern w:val="0"/>
                <w:szCs w:val="21"/>
                <w:lang w:bidi="ar"/>
              </w:rPr>
              <w:t>预付款项</w:t>
            </w:r>
          </w:p>
        </w:tc>
        <w:tc>
          <w:tcPr>
            <w:tcW w:w="2160" w:type="dxa"/>
            <w:tcBorders>
              <w:top w:val="nil"/>
              <w:left w:val="nil"/>
              <w:bottom w:val="single" w:color="auto" w:sz="4" w:space="0"/>
              <w:right w:val="single" w:color="auto" w:sz="4" w:space="0"/>
            </w:tcBorders>
            <w:noWrap/>
            <w:vAlign w:val="center"/>
          </w:tcPr>
          <w:p w14:paraId="2C1801F9">
            <w:pPr>
              <w:jc w:val="right"/>
              <w:rPr>
                <w:rFonts w:hint="eastAsia" w:ascii="宋体" w:hAnsi="宋体" w:cs="宋体"/>
                <w:color w:val="000000"/>
                <w:kern w:val="0"/>
                <w:szCs w:val="21"/>
              </w:rPr>
            </w:pPr>
            <w:r>
              <w:rPr>
                <w:kern w:val="0"/>
                <w:szCs w:val="21"/>
                <w:lang w:bidi="ar"/>
              </w:rPr>
              <w:t>7,590,566.39</w:t>
            </w:r>
          </w:p>
        </w:tc>
        <w:tc>
          <w:tcPr>
            <w:tcW w:w="2040" w:type="dxa"/>
            <w:tcBorders>
              <w:top w:val="nil"/>
              <w:left w:val="nil"/>
              <w:bottom w:val="single" w:color="auto" w:sz="4" w:space="0"/>
              <w:right w:val="single" w:color="auto" w:sz="4" w:space="0"/>
            </w:tcBorders>
            <w:noWrap/>
          </w:tcPr>
          <w:p w14:paraId="301080B4">
            <w:pPr>
              <w:jc w:val="right"/>
              <w:rPr>
                <w:rFonts w:hint="eastAsia" w:ascii="宋体" w:hAnsi="宋体" w:cs="宋体"/>
                <w:color w:val="000000"/>
                <w:kern w:val="0"/>
                <w:szCs w:val="21"/>
              </w:rPr>
            </w:pPr>
            <w:r>
              <w:rPr>
                <w:kern w:val="0"/>
                <w:szCs w:val="21"/>
                <w:lang w:bidi="ar"/>
              </w:rPr>
              <w:t>8,260,092.34</w:t>
            </w:r>
          </w:p>
        </w:tc>
        <w:tc>
          <w:tcPr>
            <w:tcW w:w="1056" w:type="dxa"/>
            <w:tcBorders>
              <w:top w:val="nil"/>
              <w:left w:val="nil"/>
              <w:bottom w:val="single" w:color="auto" w:sz="4" w:space="0"/>
              <w:right w:val="single" w:color="auto" w:sz="4" w:space="0"/>
            </w:tcBorders>
            <w:noWrap/>
            <w:vAlign w:val="center"/>
          </w:tcPr>
          <w:p w14:paraId="04264BAA">
            <w:pPr>
              <w:jc w:val="right"/>
              <w:rPr>
                <w:rFonts w:hint="eastAsia" w:ascii="宋体" w:hAnsi="宋体" w:cs="宋体"/>
                <w:color w:val="000000"/>
                <w:kern w:val="0"/>
                <w:szCs w:val="21"/>
              </w:rPr>
            </w:pPr>
            <w:r>
              <w:rPr>
                <w:color w:val="000000"/>
                <w:kern w:val="0"/>
                <w:szCs w:val="21"/>
                <w:lang w:bidi="ar"/>
              </w:rPr>
              <w:t>-8.11</w:t>
            </w:r>
          </w:p>
        </w:tc>
      </w:tr>
      <w:tr w14:paraId="69AE0925">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219BAE3E">
            <w:pPr>
              <w:rPr>
                <w:rFonts w:hint="eastAsia" w:ascii="宋体" w:hAnsi="宋体" w:cs="宋体"/>
                <w:color w:val="000000"/>
                <w:kern w:val="0"/>
                <w:szCs w:val="21"/>
              </w:rPr>
            </w:pPr>
            <w:r>
              <w:rPr>
                <w:rFonts w:hint="eastAsia" w:cs="宋体"/>
                <w:kern w:val="0"/>
                <w:szCs w:val="21"/>
                <w:lang w:bidi="ar"/>
              </w:rPr>
              <w:t>其他应收款</w:t>
            </w:r>
          </w:p>
        </w:tc>
        <w:tc>
          <w:tcPr>
            <w:tcW w:w="2160" w:type="dxa"/>
            <w:tcBorders>
              <w:top w:val="nil"/>
              <w:left w:val="nil"/>
              <w:bottom w:val="single" w:color="auto" w:sz="4" w:space="0"/>
              <w:right w:val="single" w:color="auto" w:sz="4" w:space="0"/>
            </w:tcBorders>
            <w:noWrap/>
            <w:vAlign w:val="center"/>
          </w:tcPr>
          <w:p w14:paraId="6C784F45">
            <w:pPr>
              <w:jc w:val="right"/>
              <w:rPr>
                <w:rFonts w:hint="eastAsia" w:ascii="宋体" w:hAnsi="宋体" w:cs="宋体"/>
                <w:color w:val="000000"/>
                <w:kern w:val="0"/>
                <w:szCs w:val="21"/>
              </w:rPr>
            </w:pPr>
            <w:r>
              <w:rPr>
                <w:kern w:val="0"/>
                <w:szCs w:val="21"/>
                <w:lang w:bidi="ar"/>
              </w:rPr>
              <w:t>8,159,517.49</w:t>
            </w:r>
          </w:p>
        </w:tc>
        <w:tc>
          <w:tcPr>
            <w:tcW w:w="2040" w:type="dxa"/>
            <w:tcBorders>
              <w:top w:val="nil"/>
              <w:left w:val="nil"/>
              <w:bottom w:val="single" w:color="auto" w:sz="4" w:space="0"/>
              <w:right w:val="single" w:color="auto" w:sz="4" w:space="0"/>
            </w:tcBorders>
            <w:noWrap/>
          </w:tcPr>
          <w:p w14:paraId="5E860698">
            <w:pPr>
              <w:jc w:val="right"/>
              <w:rPr>
                <w:rFonts w:hint="eastAsia" w:ascii="宋体" w:hAnsi="宋体" w:cs="宋体"/>
                <w:color w:val="000000"/>
                <w:kern w:val="0"/>
                <w:szCs w:val="21"/>
              </w:rPr>
            </w:pPr>
            <w:r>
              <w:rPr>
                <w:kern w:val="0"/>
                <w:szCs w:val="21"/>
                <w:lang w:bidi="ar"/>
              </w:rPr>
              <w:t>28,777,441.68</w:t>
            </w:r>
          </w:p>
        </w:tc>
        <w:tc>
          <w:tcPr>
            <w:tcW w:w="1056" w:type="dxa"/>
            <w:tcBorders>
              <w:top w:val="nil"/>
              <w:left w:val="nil"/>
              <w:bottom w:val="single" w:color="auto" w:sz="4" w:space="0"/>
              <w:right w:val="single" w:color="auto" w:sz="4" w:space="0"/>
            </w:tcBorders>
            <w:noWrap/>
            <w:vAlign w:val="center"/>
          </w:tcPr>
          <w:p w14:paraId="56B7F139">
            <w:pPr>
              <w:jc w:val="right"/>
              <w:rPr>
                <w:rFonts w:hint="eastAsia" w:ascii="宋体" w:hAnsi="宋体" w:cs="宋体"/>
                <w:color w:val="000000"/>
                <w:kern w:val="0"/>
                <w:szCs w:val="21"/>
              </w:rPr>
            </w:pPr>
            <w:r>
              <w:rPr>
                <w:color w:val="000000"/>
                <w:kern w:val="0"/>
                <w:szCs w:val="21"/>
                <w:lang w:bidi="ar"/>
              </w:rPr>
              <w:t>-71.65</w:t>
            </w:r>
          </w:p>
        </w:tc>
      </w:tr>
      <w:tr w14:paraId="3FC3B725">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54A1D0CB">
            <w:pPr>
              <w:rPr>
                <w:rFonts w:hint="eastAsia" w:ascii="宋体" w:hAnsi="宋体" w:cs="宋体"/>
                <w:color w:val="000000"/>
                <w:kern w:val="0"/>
                <w:szCs w:val="21"/>
              </w:rPr>
            </w:pPr>
            <w:r>
              <w:rPr>
                <w:rFonts w:hint="eastAsia" w:cs="宋体"/>
                <w:kern w:val="0"/>
                <w:szCs w:val="21"/>
                <w:lang w:bidi="ar"/>
              </w:rPr>
              <w:t>存货</w:t>
            </w:r>
          </w:p>
        </w:tc>
        <w:tc>
          <w:tcPr>
            <w:tcW w:w="2160" w:type="dxa"/>
            <w:tcBorders>
              <w:top w:val="nil"/>
              <w:left w:val="nil"/>
              <w:bottom w:val="single" w:color="auto" w:sz="4" w:space="0"/>
              <w:right w:val="single" w:color="auto" w:sz="4" w:space="0"/>
            </w:tcBorders>
            <w:noWrap/>
            <w:vAlign w:val="center"/>
          </w:tcPr>
          <w:p w14:paraId="5ED3DB5A">
            <w:pPr>
              <w:jc w:val="right"/>
              <w:rPr>
                <w:rFonts w:hint="eastAsia" w:ascii="宋体" w:hAnsi="宋体" w:cs="宋体"/>
                <w:color w:val="000000"/>
                <w:kern w:val="0"/>
                <w:szCs w:val="21"/>
              </w:rPr>
            </w:pPr>
            <w:r>
              <w:rPr>
                <w:kern w:val="0"/>
                <w:szCs w:val="21"/>
                <w:lang w:bidi="ar"/>
              </w:rPr>
              <w:t>785,169,505.67</w:t>
            </w:r>
          </w:p>
        </w:tc>
        <w:tc>
          <w:tcPr>
            <w:tcW w:w="2040" w:type="dxa"/>
            <w:tcBorders>
              <w:top w:val="nil"/>
              <w:left w:val="nil"/>
              <w:bottom w:val="single" w:color="auto" w:sz="4" w:space="0"/>
              <w:right w:val="single" w:color="auto" w:sz="4" w:space="0"/>
            </w:tcBorders>
            <w:noWrap/>
          </w:tcPr>
          <w:p w14:paraId="00930336">
            <w:pPr>
              <w:jc w:val="right"/>
              <w:rPr>
                <w:rFonts w:hint="eastAsia" w:ascii="宋体" w:hAnsi="宋体" w:cs="宋体"/>
                <w:color w:val="000000"/>
                <w:kern w:val="0"/>
                <w:szCs w:val="21"/>
              </w:rPr>
            </w:pPr>
            <w:r>
              <w:rPr>
                <w:kern w:val="0"/>
                <w:szCs w:val="21"/>
                <w:lang w:bidi="ar"/>
              </w:rPr>
              <w:t>823,393,050.70</w:t>
            </w:r>
          </w:p>
        </w:tc>
        <w:tc>
          <w:tcPr>
            <w:tcW w:w="1056" w:type="dxa"/>
            <w:tcBorders>
              <w:top w:val="nil"/>
              <w:left w:val="nil"/>
              <w:bottom w:val="single" w:color="auto" w:sz="4" w:space="0"/>
              <w:right w:val="single" w:color="auto" w:sz="4" w:space="0"/>
            </w:tcBorders>
            <w:noWrap/>
            <w:vAlign w:val="center"/>
          </w:tcPr>
          <w:p w14:paraId="22EED73B">
            <w:pPr>
              <w:jc w:val="right"/>
              <w:rPr>
                <w:rFonts w:hint="eastAsia" w:ascii="宋体" w:hAnsi="宋体" w:cs="宋体"/>
                <w:color w:val="000000"/>
                <w:kern w:val="0"/>
                <w:szCs w:val="21"/>
              </w:rPr>
            </w:pPr>
            <w:r>
              <w:rPr>
                <w:color w:val="000000"/>
                <w:kern w:val="0"/>
                <w:szCs w:val="21"/>
                <w:lang w:bidi="ar"/>
              </w:rPr>
              <w:t>-4.64</w:t>
            </w:r>
          </w:p>
        </w:tc>
      </w:tr>
      <w:tr w14:paraId="445CC13C">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5255DB12">
            <w:pPr>
              <w:rPr>
                <w:rFonts w:hint="eastAsia" w:ascii="宋体" w:hAnsi="宋体" w:cs="宋体"/>
                <w:color w:val="000000"/>
                <w:kern w:val="0"/>
                <w:szCs w:val="21"/>
              </w:rPr>
            </w:pPr>
            <w:r>
              <w:rPr>
                <w:rFonts w:hint="eastAsia" w:cs="宋体"/>
                <w:kern w:val="0"/>
                <w:szCs w:val="21"/>
                <w:lang w:bidi="ar"/>
              </w:rPr>
              <w:t>一年内到期的非流动资产</w:t>
            </w:r>
          </w:p>
        </w:tc>
        <w:tc>
          <w:tcPr>
            <w:tcW w:w="2160" w:type="dxa"/>
            <w:tcBorders>
              <w:top w:val="nil"/>
              <w:left w:val="nil"/>
              <w:bottom w:val="single" w:color="auto" w:sz="4" w:space="0"/>
              <w:right w:val="single" w:color="auto" w:sz="4" w:space="0"/>
            </w:tcBorders>
            <w:noWrap/>
            <w:vAlign w:val="center"/>
          </w:tcPr>
          <w:p w14:paraId="42C234C7">
            <w:pPr>
              <w:jc w:val="right"/>
              <w:rPr>
                <w:rFonts w:hint="eastAsia" w:ascii="宋体" w:hAnsi="宋体" w:cs="宋体"/>
                <w:color w:val="000000"/>
                <w:kern w:val="0"/>
                <w:szCs w:val="21"/>
              </w:rPr>
            </w:pPr>
            <w:r>
              <w:rPr>
                <w:kern w:val="0"/>
                <w:szCs w:val="21"/>
                <w:lang w:bidi="ar"/>
              </w:rPr>
              <w:t>49,492,840.50</w:t>
            </w:r>
          </w:p>
        </w:tc>
        <w:tc>
          <w:tcPr>
            <w:tcW w:w="2040" w:type="dxa"/>
            <w:tcBorders>
              <w:top w:val="nil"/>
              <w:left w:val="nil"/>
              <w:bottom w:val="single" w:color="auto" w:sz="4" w:space="0"/>
              <w:right w:val="single" w:color="auto" w:sz="4" w:space="0"/>
            </w:tcBorders>
            <w:noWrap/>
          </w:tcPr>
          <w:p w14:paraId="2F6F9E12">
            <w:pPr>
              <w:jc w:val="right"/>
              <w:rPr>
                <w:rFonts w:hint="eastAsia" w:ascii="宋体" w:hAnsi="宋体" w:cs="宋体"/>
                <w:color w:val="000000"/>
                <w:kern w:val="0"/>
                <w:szCs w:val="21"/>
              </w:rPr>
            </w:pPr>
            <w:r>
              <w:rPr>
                <w:kern w:val="0"/>
                <w:szCs w:val="21"/>
                <w:lang w:bidi="ar"/>
              </w:rPr>
              <w:t>50,568,150.69</w:t>
            </w:r>
          </w:p>
        </w:tc>
        <w:tc>
          <w:tcPr>
            <w:tcW w:w="1056" w:type="dxa"/>
            <w:tcBorders>
              <w:top w:val="nil"/>
              <w:left w:val="nil"/>
              <w:bottom w:val="single" w:color="auto" w:sz="4" w:space="0"/>
              <w:right w:val="single" w:color="auto" w:sz="4" w:space="0"/>
            </w:tcBorders>
            <w:noWrap/>
            <w:vAlign w:val="center"/>
          </w:tcPr>
          <w:p w14:paraId="680FE1F7">
            <w:pPr>
              <w:jc w:val="right"/>
              <w:rPr>
                <w:rFonts w:hint="eastAsia" w:ascii="宋体" w:hAnsi="宋体" w:cs="宋体"/>
                <w:color w:val="000000"/>
                <w:kern w:val="0"/>
                <w:szCs w:val="21"/>
              </w:rPr>
            </w:pPr>
            <w:r>
              <w:rPr>
                <w:color w:val="000000"/>
                <w:kern w:val="0"/>
                <w:szCs w:val="21"/>
                <w:lang w:bidi="ar"/>
              </w:rPr>
              <w:t>-2.13</w:t>
            </w:r>
          </w:p>
        </w:tc>
      </w:tr>
      <w:tr w14:paraId="37F521E5">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356DE1FB">
            <w:pPr>
              <w:rPr>
                <w:rFonts w:hint="eastAsia" w:ascii="宋体" w:hAnsi="宋体" w:cs="宋体"/>
                <w:color w:val="000000"/>
                <w:kern w:val="0"/>
                <w:szCs w:val="21"/>
              </w:rPr>
            </w:pPr>
            <w:r>
              <w:rPr>
                <w:rFonts w:hint="eastAsia" w:cs="宋体"/>
                <w:kern w:val="0"/>
                <w:szCs w:val="21"/>
                <w:lang w:bidi="ar"/>
              </w:rPr>
              <w:t>其他流动资产</w:t>
            </w:r>
          </w:p>
        </w:tc>
        <w:tc>
          <w:tcPr>
            <w:tcW w:w="2160" w:type="dxa"/>
            <w:tcBorders>
              <w:top w:val="nil"/>
              <w:left w:val="nil"/>
              <w:bottom w:val="single" w:color="auto" w:sz="4" w:space="0"/>
              <w:right w:val="single" w:color="auto" w:sz="4" w:space="0"/>
            </w:tcBorders>
            <w:noWrap/>
            <w:vAlign w:val="center"/>
          </w:tcPr>
          <w:p w14:paraId="53832317">
            <w:pPr>
              <w:jc w:val="right"/>
              <w:rPr>
                <w:rFonts w:hint="eastAsia" w:ascii="宋体" w:hAnsi="宋体" w:cs="宋体"/>
                <w:color w:val="000000"/>
                <w:kern w:val="0"/>
                <w:szCs w:val="21"/>
              </w:rPr>
            </w:pPr>
            <w:r>
              <w:rPr>
                <w:kern w:val="0"/>
                <w:szCs w:val="21"/>
                <w:lang w:bidi="ar"/>
              </w:rPr>
              <w:t>28,090,253.52</w:t>
            </w:r>
          </w:p>
        </w:tc>
        <w:tc>
          <w:tcPr>
            <w:tcW w:w="2040" w:type="dxa"/>
            <w:tcBorders>
              <w:top w:val="nil"/>
              <w:left w:val="nil"/>
              <w:bottom w:val="single" w:color="auto" w:sz="4" w:space="0"/>
              <w:right w:val="single" w:color="auto" w:sz="4" w:space="0"/>
            </w:tcBorders>
            <w:noWrap/>
          </w:tcPr>
          <w:p w14:paraId="68E5F914">
            <w:pPr>
              <w:jc w:val="right"/>
              <w:rPr>
                <w:rFonts w:hint="eastAsia" w:ascii="宋体" w:hAnsi="宋体" w:cs="宋体"/>
                <w:color w:val="000000"/>
                <w:kern w:val="0"/>
                <w:szCs w:val="21"/>
              </w:rPr>
            </w:pPr>
            <w:r>
              <w:rPr>
                <w:kern w:val="0"/>
                <w:szCs w:val="21"/>
                <w:lang w:bidi="ar"/>
              </w:rPr>
              <w:t>9,630,658.75</w:t>
            </w:r>
          </w:p>
        </w:tc>
        <w:tc>
          <w:tcPr>
            <w:tcW w:w="1056" w:type="dxa"/>
            <w:tcBorders>
              <w:top w:val="nil"/>
              <w:left w:val="nil"/>
              <w:bottom w:val="single" w:color="auto" w:sz="4" w:space="0"/>
              <w:right w:val="single" w:color="auto" w:sz="4" w:space="0"/>
            </w:tcBorders>
            <w:noWrap/>
            <w:vAlign w:val="center"/>
          </w:tcPr>
          <w:p w14:paraId="5991584B">
            <w:pPr>
              <w:jc w:val="right"/>
              <w:rPr>
                <w:rFonts w:hint="eastAsia" w:ascii="宋体" w:hAnsi="宋体" w:cs="宋体"/>
                <w:color w:val="000000"/>
                <w:kern w:val="0"/>
                <w:szCs w:val="21"/>
              </w:rPr>
            </w:pPr>
            <w:r>
              <w:rPr>
                <w:color w:val="000000"/>
                <w:kern w:val="0"/>
                <w:szCs w:val="21"/>
                <w:lang w:bidi="ar"/>
              </w:rPr>
              <w:t>191.68</w:t>
            </w:r>
          </w:p>
        </w:tc>
      </w:tr>
      <w:tr w14:paraId="75898DC2">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52221034">
            <w:pPr>
              <w:rPr>
                <w:rFonts w:hint="eastAsia" w:ascii="宋体" w:hAnsi="宋体" w:cs="宋体"/>
                <w:color w:val="000000"/>
                <w:kern w:val="0"/>
                <w:szCs w:val="21"/>
              </w:rPr>
            </w:pPr>
            <w:r>
              <w:rPr>
                <w:rFonts w:hint="eastAsia" w:cs="宋体"/>
                <w:kern w:val="0"/>
                <w:szCs w:val="21"/>
                <w:lang w:bidi="ar"/>
              </w:rPr>
              <w:t>长期应收款</w:t>
            </w:r>
          </w:p>
        </w:tc>
        <w:tc>
          <w:tcPr>
            <w:tcW w:w="2160" w:type="dxa"/>
            <w:tcBorders>
              <w:top w:val="nil"/>
              <w:left w:val="nil"/>
              <w:bottom w:val="single" w:color="auto" w:sz="4" w:space="0"/>
              <w:right w:val="single" w:color="auto" w:sz="4" w:space="0"/>
            </w:tcBorders>
            <w:noWrap/>
            <w:vAlign w:val="center"/>
          </w:tcPr>
          <w:p w14:paraId="7FD475B3">
            <w:pPr>
              <w:jc w:val="right"/>
              <w:rPr>
                <w:rFonts w:hint="eastAsia" w:ascii="宋体" w:hAnsi="宋体" w:cs="宋体"/>
                <w:color w:val="000000"/>
                <w:kern w:val="0"/>
                <w:szCs w:val="21"/>
              </w:rPr>
            </w:pPr>
            <w:r>
              <w:rPr>
                <w:kern w:val="0"/>
                <w:szCs w:val="21"/>
                <w:lang w:bidi="ar"/>
              </w:rPr>
              <w:t>3,100,000.00</w:t>
            </w:r>
          </w:p>
        </w:tc>
        <w:tc>
          <w:tcPr>
            <w:tcW w:w="2040" w:type="dxa"/>
            <w:tcBorders>
              <w:top w:val="nil"/>
              <w:left w:val="nil"/>
              <w:bottom w:val="single" w:color="auto" w:sz="4" w:space="0"/>
              <w:right w:val="single" w:color="auto" w:sz="4" w:space="0"/>
            </w:tcBorders>
            <w:noWrap/>
          </w:tcPr>
          <w:p w14:paraId="14B459ED">
            <w:pPr>
              <w:jc w:val="right"/>
              <w:rPr>
                <w:rFonts w:hint="eastAsia" w:ascii="宋体" w:hAnsi="宋体" w:cs="宋体"/>
                <w:color w:val="000000"/>
                <w:kern w:val="0"/>
                <w:szCs w:val="21"/>
              </w:rPr>
            </w:pPr>
            <w:r>
              <w:rPr>
                <w:kern w:val="0"/>
                <w:szCs w:val="21"/>
                <w:lang w:bidi="ar"/>
              </w:rPr>
              <w:t>8,000,000.00</w:t>
            </w:r>
          </w:p>
        </w:tc>
        <w:tc>
          <w:tcPr>
            <w:tcW w:w="1056" w:type="dxa"/>
            <w:tcBorders>
              <w:top w:val="nil"/>
              <w:left w:val="nil"/>
              <w:bottom w:val="single" w:color="auto" w:sz="4" w:space="0"/>
              <w:right w:val="single" w:color="auto" w:sz="4" w:space="0"/>
            </w:tcBorders>
            <w:noWrap/>
            <w:vAlign w:val="center"/>
          </w:tcPr>
          <w:p w14:paraId="65EAA359">
            <w:pPr>
              <w:jc w:val="right"/>
              <w:rPr>
                <w:rFonts w:hint="eastAsia" w:ascii="宋体" w:hAnsi="宋体" w:cs="宋体"/>
                <w:color w:val="000000"/>
                <w:kern w:val="0"/>
                <w:szCs w:val="21"/>
              </w:rPr>
            </w:pPr>
            <w:r>
              <w:rPr>
                <w:color w:val="000000"/>
                <w:kern w:val="0"/>
                <w:szCs w:val="21"/>
                <w:lang w:bidi="ar"/>
              </w:rPr>
              <w:t>-61.25</w:t>
            </w:r>
          </w:p>
        </w:tc>
      </w:tr>
      <w:tr w14:paraId="0A41B1C3">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3910320E">
            <w:pPr>
              <w:rPr>
                <w:rFonts w:hint="eastAsia" w:ascii="宋体" w:hAnsi="宋体" w:cs="宋体"/>
                <w:color w:val="000000"/>
                <w:kern w:val="0"/>
                <w:szCs w:val="21"/>
              </w:rPr>
            </w:pPr>
            <w:r>
              <w:rPr>
                <w:rFonts w:hint="eastAsia" w:cs="宋体"/>
                <w:kern w:val="0"/>
                <w:szCs w:val="21"/>
                <w:lang w:bidi="ar"/>
              </w:rPr>
              <w:t>长期股权投资</w:t>
            </w:r>
          </w:p>
        </w:tc>
        <w:tc>
          <w:tcPr>
            <w:tcW w:w="2160" w:type="dxa"/>
            <w:tcBorders>
              <w:top w:val="nil"/>
              <w:left w:val="nil"/>
              <w:bottom w:val="single" w:color="auto" w:sz="4" w:space="0"/>
              <w:right w:val="single" w:color="auto" w:sz="4" w:space="0"/>
            </w:tcBorders>
            <w:noWrap/>
            <w:vAlign w:val="center"/>
          </w:tcPr>
          <w:p w14:paraId="3D5D1030">
            <w:pPr>
              <w:jc w:val="right"/>
              <w:rPr>
                <w:rFonts w:hint="eastAsia" w:ascii="宋体" w:hAnsi="宋体" w:cs="宋体"/>
                <w:color w:val="000000"/>
                <w:kern w:val="0"/>
                <w:szCs w:val="21"/>
              </w:rPr>
            </w:pPr>
          </w:p>
        </w:tc>
        <w:tc>
          <w:tcPr>
            <w:tcW w:w="2040" w:type="dxa"/>
            <w:tcBorders>
              <w:top w:val="nil"/>
              <w:left w:val="nil"/>
              <w:bottom w:val="single" w:color="auto" w:sz="4" w:space="0"/>
              <w:right w:val="single" w:color="auto" w:sz="4" w:space="0"/>
            </w:tcBorders>
            <w:noWrap/>
          </w:tcPr>
          <w:p w14:paraId="3642D7C1">
            <w:pPr>
              <w:jc w:val="right"/>
              <w:rPr>
                <w:rFonts w:hint="eastAsia" w:ascii="宋体" w:hAnsi="宋体" w:cs="宋体"/>
                <w:color w:val="000000"/>
                <w:kern w:val="0"/>
                <w:szCs w:val="21"/>
              </w:rPr>
            </w:pPr>
          </w:p>
        </w:tc>
        <w:tc>
          <w:tcPr>
            <w:tcW w:w="1056" w:type="dxa"/>
            <w:tcBorders>
              <w:top w:val="nil"/>
              <w:left w:val="nil"/>
              <w:bottom w:val="single" w:color="auto" w:sz="4" w:space="0"/>
              <w:right w:val="single" w:color="auto" w:sz="4" w:space="0"/>
            </w:tcBorders>
            <w:noWrap/>
            <w:vAlign w:val="center"/>
          </w:tcPr>
          <w:p w14:paraId="3D5BEA8B">
            <w:pPr>
              <w:jc w:val="right"/>
              <w:rPr>
                <w:rFonts w:hint="eastAsia" w:ascii="宋体" w:hAnsi="宋体" w:cs="宋体"/>
                <w:color w:val="000000"/>
                <w:kern w:val="0"/>
                <w:szCs w:val="21"/>
              </w:rPr>
            </w:pPr>
          </w:p>
        </w:tc>
      </w:tr>
      <w:tr w14:paraId="29B653FF">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154D4276">
            <w:pPr>
              <w:rPr>
                <w:rFonts w:hint="eastAsia" w:ascii="宋体" w:hAnsi="宋体" w:cs="宋体"/>
                <w:color w:val="000000"/>
                <w:kern w:val="0"/>
                <w:szCs w:val="21"/>
              </w:rPr>
            </w:pPr>
            <w:r>
              <w:rPr>
                <w:rFonts w:hint="eastAsia" w:cs="宋体"/>
                <w:kern w:val="0"/>
                <w:szCs w:val="21"/>
                <w:lang w:bidi="ar"/>
              </w:rPr>
              <w:t>其他权益工具投资</w:t>
            </w:r>
          </w:p>
        </w:tc>
        <w:tc>
          <w:tcPr>
            <w:tcW w:w="2160" w:type="dxa"/>
            <w:tcBorders>
              <w:top w:val="nil"/>
              <w:left w:val="nil"/>
              <w:bottom w:val="single" w:color="auto" w:sz="4" w:space="0"/>
              <w:right w:val="single" w:color="auto" w:sz="4" w:space="0"/>
            </w:tcBorders>
            <w:noWrap/>
            <w:vAlign w:val="center"/>
          </w:tcPr>
          <w:p w14:paraId="4FFB5A52">
            <w:pPr>
              <w:jc w:val="right"/>
              <w:rPr>
                <w:rFonts w:hint="eastAsia" w:ascii="宋体" w:hAnsi="宋体" w:cs="宋体"/>
                <w:color w:val="000000"/>
                <w:kern w:val="0"/>
                <w:szCs w:val="21"/>
              </w:rPr>
            </w:pPr>
            <w:r>
              <w:rPr>
                <w:kern w:val="0"/>
                <w:szCs w:val="21"/>
                <w:lang w:bidi="ar"/>
              </w:rPr>
              <w:t>186,947,832.70</w:t>
            </w:r>
          </w:p>
        </w:tc>
        <w:tc>
          <w:tcPr>
            <w:tcW w:w="2040" w:type="dxa"/>
            <w:tcBorders>
              <w:top w:val="nil"/>
              <w:left w:val="nil"/>
              <w:bottom w:val="single" w:color="auto" w:sz="4" w:space="0"/>
              <w:right w:val="single" w:color="auto" w:sz="4" w:space="0"/>
            </w:tcBorders>
            <w:noWrap/>
          </w:tcPr>
          <w:p w14:paraId="78C4D121">
            <w:pPr>
              <w:jc w:val="right"/>
              <w:rPr>
                <w:rFonts w:hint="eastAsia" w:ascii="宋体" w:hAnsi="宋体" w:cs="宋体"/>
                <w:color w:val="000000"/>
                <w:kern w:val="0"/>
                <w:szCs w:val="21"/>
              </w:rPr>
            </w:pPr>
            <w:r>
              <w:rPr>
                <w:kern w:val="0"/>
                <w:szCs w:val="21"/>
                <w:lang w:bidi="ar"/>
              </w:rPr>
              <w:t>193,551,489.51</w:t>
            </w:r>
          </w:p>
        </w:tc>
        <w:tc>
          <w:tcPr>
            <w:tcW w:w="1056" w:type="dxa"/>
            <w:tcBorders>
              <w:top w:val="nil"/>
              <w:left w:val="nil"/>
              <w:bottom w:val="single" w:color="auto" w:sz="4" w:space="0"/>
              <w:right w:val="single" w:color="auto" w:sz="4" w:space="0"/>
            </w:tcBorders>
            <w:noWrap/>
            <w:vAlign w:val="center"/>
          </w:tcPr>
          <w:p w14:paraId="3197DAEC">
            <w:pPr>
              <w:jc w:val="right"/>
              <w:rPr>
                <w:rFonts w:hint="eastAsia" w:ascii="宋体" w:hAnsi="宋体" w:cs="宋体"/>
                <w:color w:val="000000"/>
                <w:kern w:val="0"/>
                <w:szCs w:val="21"/>
              </w:rPr>
            </w:pPr>
            <w:r>
              <w:rPr>
                <w:color w:val="000000"/>
                <w:kern w:val="0"/>
                <w:szCs w:val="21"/>
                <w:lang w:bidi="ar"/>
              </w:rPr>
              <w:t>-3.41</w:t>
            </w:r>
          </w:p>
        </w:tc>
      </w:tr>
      <w:tr w14:paraId="12A2610B">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52C12352">
            <w:pPr>
              <w:rPr>
                <w:rFonts w:hint="eastAsia" w:ascii="宋体" w:hAnsi="宋体" w:cs="宋体"/>
                <w:color w:val="000000"/>
                <w:kern w:val="0"/>
                <w:szCs w:val="21"/>
              </w:rPr>
            </w:pPr>
            <w:r>
              <w:rPr>
                <w:rFonts w:hint="eastAsia" w:cs="宋体"/>
                <w:kern w:val="0"/>
                <w:szCs w:val="21"/>
                <w:lang w:bidi="ar"/>
              </w:rPr>
              <w:t>其他非流动金融资产</w:t>
            </w:r>
          </w:p>
        </w:tc>
        <w:tc>
          <w:tcPr>
            <w:tcW w:w="2160" w:type="dxa"/>
            <w:tcBorders>
              <w:top w:val="nil"/>
              <w:left w:val="nil"/>
              <w:bottom w:val="single" w:color="auto" w:sz="4" w:space="0"/>
              <w:right w:val="single" w:color="auto" w:sz="4" w:space="0"/>
            </w:tcBorders>
            <w:noWrap/>
            <w:vAlign w:val="center"/>
          </w:tcPr>
          <w:p w14:paraId="5674D7C8">
            <w:pPr>
              <w:jc w:val="right"/>
              <w:rPr>
                <w:rFonts w:hint="eastAsia" w:ascii="宋体" w:hAnsi="宋体" w:cs="宋体"/>
                <w:color w:val="000000"/>
                <w:kern w:val="0"/>
                <w:szCs w:val="21"/>
              </w:rPr>
            </w:pPr>
            <w:r>
              <w:rPr>
                <w:kern w:val="0"/>
                <w:szCs w:val="21"/>
                <w:lang w:bidi="ar"/>
              </w:rPr>
              <w:t>1,906,940.35</w:t>
            </w:r>
          </w:p>
        </w:tc>
        <w:tc>
          <w:tcPr>
            <w:tcW w:w="2040" w:type="dxa"/>
            <w:tcBorders>
              <w:top w:val="nil"/>
              <w:left w:val="nil"/>
              <w:bottom w:val="single" w:color="auto" w:sz="4" w:space="0"/>
              <w:right w:val="single" w:color="auto" w:sz="4" w:space="0"/>
            </w:tcBorders>
            <w:noWrap/>
          </w:tcPr>
          <w:p w14:paraId="5B86E913">
            <w:pPr>
              <w:jc w:val="right"/>
              <w:rPr>
                <w:rFonts w:hint="eastAsia" w:ascii="宋体" w:hAnsi="宋体" w:cs="宋体"/>
                <w:color w:val="000000"/>
                <w:kern w:val="0"/>
                <w:szCs w:val="21"/>
              </w:rPr>
            </w:pPr>
            <w:r>
              <w:rPr>
                <w:kern w:val="0"/>
                <w:szCs w:val="21"/>
                <w:lang w:bidi="ar"/>
              </w:rPr>
              <w:t>4,658,474.91</w:t>
            </w:r>
          </w:p>
        </w:tc>
        <w:tc>
          <w:tcPr>
            <w:tcW w:w="1056" w:type="dxa"/>
            <w:tcBorders>
              <w:top w:val="nil"/>
              <w:left w:val="nil"/>
              <w:bottom w:val="single" w:color="auto" w:sz="4" w:space="0"/>
              <w:right w:val="single" w:color="auto" w:sz="4" w:space="0"/>
            </w:tcBorders>
            <w:noWrap/>
            <w:vAlign w:val="center"/>
          </w:tcPr>
          <w:p w14:paraId="61A85A70">
            <w:pPr>
              <w:jc w:val="right"/>
              <w:rPr>
                <w:rFonts w:hint="eastAsia" w:ascii="宋体" w:hAnsi="宋体" w:cs="宋体"/>
                <w:color w:val="000000"/>
                <w:kern w:val="0"/>
                <w:szCs w:val="21"/>
              </w:rPr>
            </w:pPr>
            <w:r>
              <w:rPr>
                <w:color w:val="000000"/>
                <w:kern w:val="0"/>
                <w:szCs w:val="21"/>
                <w:lang w:bidi="ar"/>
              </w:rPr>
              <w:t>-59.07</w:t>
            </w:r>
          </w:p>
        </w:tc>
      </w:tr>
      <w:tr w14:paraId="4931DF3B">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7A719B1D">
            <w:pPr>
              <w:rPr>
                <w:rFonts w:hint="eastAsia" w:ascii="宋体" w:hAnsi="宋体" w:cs="宋体"/>
                <w:color w:val="000000"/>
                <w:kern w:val="0"/>
                <w:szCs w:val="21"/>
              </w:rPr>
            </w:pPr>
            <w:r>
              <w:rPr>
                <w:rFonts w:hint="eastAsia" w:cs="宋体"/>
                <w:kern w:val="0"/>
                <w:szCs w:val="21"/>
                <w:lang w:bidi="ar"/>
              </w:rPr>
              <w:t>投资性房地产</w:t>
            </w:r>
          </w:p>
        </w:tc>
        <w:tc>
          <w:tcPr>
            <w:tcW w:w="2160" w:type="dxa"/>
            <w:tcBorders>
              <w:top w:val="nil"/>
              <w:left w:val="nil"/>
              <w:bottom w:val="single" w:color="auto" w:sz="4" w:space="0"/>
              <w:right w:val="single" w:color="auto" w:sz="4" w:space="0"/>
            </w:tcBorders>
            <w:noWrap/>
            <w:vAlign w:val="center"/>
          </w:tcPr>
          <w:p w14:paraId="7358A99C">
            <w:pPr>
              <w:jc w:val="right"/>
              <w:rPr>
                <w:rFonts w:hint="eastAsia" w:ascii="宋体" w:hAnsi="宋体" w:cs="宋体"/>
                <w:color w:val="000000"/>
                <w:kern w:val="0"/>
                <w:szCs w:val="21"/>
              </w:rPr>
            </w:pPr>
            <w:r>
              <w:rPr>
                <w:kern w:val="0"/>
                <w:szCs w:val="21"/>
                <w:lang w:bidi="ar"/>
              </w:rPr>
              <w:t>54,220,388.29</w:t>
            </w:r>
          </w:p>
        </w:tc>
        <w:tc>
          <w:tcPr>
            <w:tcW w:w="2040" w:type="dxa"/>
            <w:tcBorders>
              <w:top w:val="nil"/>
              <w:left w:val="nil"/>
              <w:bottom w:val="single" w:color="auto" w:sz="4" w:space="0"/>
              <w:right w:val="single" w:color="auto" w:sz="4" w:space="0"/>
            </w:tcBorders>
            <w:noWrap/>
          </w:tcPr>
          <w:p w14:paraId="2B6FAC1A">
            <w:pPr>
              <w:jc w:val="right"/>
              <w:rPr>
                <w:rFonts w:hint="eastAsia" w:ascii="宋体" w:hAnsi="宋体" w:cs="宋体"/>
                <w:color w:val="000000"/>
                <w:kern w:val="0"/>
                <w:szCs w:val="21"/>
              </w:rPr>
            </w:pPr>
            <w:r>
              <w:rPr>
                <w:kern w:val="0"/>
                <w:szCs w:val="21"/>
                <w:lang w:bidi="ar"/>
              </w:rPr>
              <w:t>44,249,488.47</w:t>
            </w:r>
          </w:p>
        </w:tc>
        <w:tc>
          <w:tcPr>
            <w:tcW w:w="1056" w:type="dxa"/>
            <w:tcBorders>
              <w:top w:val="nil"/>
              <w:left w:val="nil"/>
              <w:bottom w:val="single" w:color="auto" w:sz="4" w:space="0"/>
              <w:right w:val="single" w:color="auto" w:sz="4" w:space="0"/>
            </w:tcBorders>
            <w:noWrap/>
            <w:vAlign w:val="center"/>
          </w:tcPr>
          <w:p w14:paraId="762A209B">
            <w:pPr>
              <w:jc w:val="right"/>
              <w:rPr>
                <w:rFonts w:hint="eastAsia" w:ascii="宋体" w:hAnsi="宋体" w:cs="宋体"/>
                <w:color w:val="000000"/>
                <w:kern w:val="0"/>
                <w:szCs w:val="21"/>
              </w:rPr>
            </w:pPr>
            <w:r>
              <w:rPr>
                <w:color w:val="000000"/>
                <w:kern w:val="0"/>
                <w:szCs w:val="21"/>
                <w:lang w:bidi="ar"/>
              </w:rPr>
              <w:t>22.53</w:t>
            </w:r>
          </w:p>
        </w:tc>
      </w:tr>
      <w:tr w14:paraId="63719A20">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194DBD44">
            <w:pPr>
              <w:rPr>
                <w:rFonts w:hint="eastAsia" w:ascii="宋体" w:hAnsi="宋体" w:cs="宋体"/>
                <w:color w:val="000000"/>
                <w:kern w:val="0"/>
                <w:szCs w:val="21"/>
              </w:rPr>
            </w:pPr>
            <w:r>
              <w:rPr>
                <w:rFonts w:hint="eastAsia" w:cs="宋体"/>
                <w:kern w:val="0"/>
                <w:szCs w:val="21"/>
                <w:lang w:bidi="ar"/>
              </w:rPr>
              <w:t>固定资产</w:t>
            </w:r>
          </w:p>
        </w:tc>
        <w:tc>
          <w:tcPr>
            <w:tcW w:w="2160" w:type="dxa"/>
            <w:tcBorders>
              <w:top w:val="nil"/>
              <w:left w:val="nil"/>
              <w:bottom w:val="single" w:color="auto" w:sz="4" w:space="0"/>
              <w:right w:val="single" w:color="auto" w:sz="4" w:space="0"/>
            </w:tcBorders>
            <w:noWrap/>
            <w:vAlign w:val="center"/>
          </w:tcPr>
          <w:p w14:paraId="5662A395">
            <w:pPr>
              <w:jc w:val="right"/>
              <w:rPr>
                <w:rFonts w:hint="eastAsia" w:ascii="宋体" w:hAnsi="宋体" w:cs="宋体"/>
                <w:color w:val="000000"/>
                <w:kern w:val="0"/>
                <w:szCs w:val="21"/>
              </w:rPr>
            </w:pPr>
            <w:r>
              <w:rPr>
                <w:kern w:val="0"/>
                <w:szCs w:val="21"/>
                <w:lang w:bidi="ar"/>
              </w:rPr>
              <w:t>3,228,611,565.05</w:t>
            </w:r>
          </w:p>
        </w:tc>
        <w:tc>
          <w:tcPr>
            <w:tcW w:w="2040" w:type="dxa"/>
            <w:tcBorders>
              <w:top w:val="nil"/>
              <w:left w:val="nil"/>
              <w:bottom w:val="single" w:color="auto" w:sz="4" w:space="0"/>
              <w:right w:val="single" w:color="auto" w:sz="4" w:space="0"/>
            </w:tcBorders>
            <w:noWrap/>
          </w:tcPr>
          <w:p w14:paraId="212A68B7">
            <w:pPr>
              <w:jc w:val="right"/>
              <w:rPr>
                <w:rFonts w:hint="eastAsia" w:ascii="宋体" w:hAnsi="宋体" w:cs="宋体"/>
                <w:color w:val="000000"/>
                <w:kern w:val="0"/>
                <w:szCs w:val="21"/>
              </w:rPr>
            </w:pPr>
            <w:r>
              <w:rPr>
                <w:kern w:val="0"/>
                <w:szCs w:val="21"/>
                <w:lang w:bidi="ar"/>
              </w:rPr>
              <w:t>3,118,825,871.68</w:t>
            </w:r>
          </w:p>
        </w:tc>
        <w:tc>
          <w:tcPr>
            <w:tcW w:w="1056" w:type="dxa"/>
            <w:tcBorders>
              <w:top w:val="nil"/>
              <w:left w:val="nil"/>
              <w:bottom w:val="single" w:color="auto" w:sz="4" w:space="0"/>
              <w:right w:val="single" w:color="auto" w:sz="4" w:space="0"/>
            </w:tcBorders>
            <w:noWrap/>
            <w:vAlign w:val="center"/>
          </w:tcPr>
          <w:p w14:paraId="7300094C">
            <w:pPr>
              <w:jc w:val="right"/>
              <w:rPr>
                <w:rFonts w:hint="eastAsia" w:ascii="宋体" w:hAnsi="宋体" w:cs="宋体"/>
                <w:color w:val="000000"/>
                <w:kern w:val="0"/>
                <w:szCs w:val="21"/>
              </w:rPr>
            </w:pPr>
            <w:r>
              <w:rPr>
                <w:color w:val="000000"/>
                <w:kern w:val="0"/>
                <w:szCs w:val="21"/>
                <w:lang w:bidi="ar"/>
              </w:rPr>
              <w:t>3.52</w:t>
            </w:r>
          </w:p>
        </w:tc>
      </w:tr>
      <w:tr w14:paraId="0B439B47">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18329EA9">
            <w:pPr>
              <w:rPr>
                <w:rFonts w:hint="eastAsia" w:ascii="宋体" w:hAnsi="宋体" w:cs="宋体"/>
                <w:color w:val="000000"/>
                <w:kern w:val="0"/>
                <w:szCs w:val="21"/>
              </w:rPr>
            </w:pPr>
            <w:r>
              <w:rPr>
                <w:rFonts w:hint="eastAsia" w:cs="宋体"/>
                <w:kern w:val="0"/>
                <w:szCs w:val="21"/>
                <w:lang w:bidi="ar"/>
              </w:rPr>
              <w:t>在建工程</w:t>
            </w:r>
          </w:p>
        </w:tc>
        <w:tc>
          <w:tcPr>
            <w:tcW w:w="2160" w:type="dxa"/>
            <w:tcBorders>
              <w:top w:val="nil"/>
              <w:left w:val="nil"/>
              <w:bottom w:val="single" w:color="auto" w:sz="4" w:space="0"/>
              <w:right w:val="single" w:color="auto" w:sz="4" w:space="0"/>
            </w:tcBorders>
            <w:noWrap/>
            <w:vAlign w:val="center"/>
          </w:tcPr>
          <w:p w14:paraId="68FD757C">
            <w:pPr>
              <w:jc w:val="right"/>
              <w:rPr>
                <w:rFonts w:hint="eastAsia" w:ascii="宋体" w:hAnsi="宋体" w:cs="宋体"/>
                <w:color w:val="000000"/>
                <w:kern w:val="0"/>
                <w:szCs w:val="21"/>
              </w:rPr>
            </w:pPr>
            <w:r>
              <w:rPr>
                <w:kern w:val="0"/>
                <w:szCs w:val="21"/>
                <w:lang w:bidi="ar"/>
              </w:rPr>
              <w:t>1,697,848.20</w:t>
            </w:r>
          </w:p>
        </w:tc>
        <w:tc>
          <w:tcPr>
            <w:tcW w:w="2040" w:type="dxa"/>
            <w:tcBorders>
              <w:top w:val="nil"/>
              <w:left w:val="nil"/>
              <w:bottom w:val="single" w:color="auto" w:sz="4" w:space="0"/>
              <w:right w:val="single" w:color="auto" w:sz="4" w:space="0"/>
            </w:tcBorders>
            <w:noWrap/>
          </w:tcPr>
          <w:p w14:paraId="5E9109CF">
            <w:pPr>
              <w:jc w:val="right"/>
              <w:rPr>
                <w:rFonts w:hint="eastAsia" w:ascii="宋体" w:hAnsi="宋体" w:cs="宋体"/>
                <w:color w:val="000000"/>
                <w:kern w:val="0"/>
                <w:szCs w:val="21"/>
              </w:rPr>
            </w:pPr>
            <w:r>
              <w:rPr>
                <w:kern w:val="0"/>
                <w:szCs w:val="21"/>
                <w:lang w:bidi="ar"/>
              </w:rPr>
              <w:t>184,970,228.06</w:t>
            </w:r>
          </w:p>
        </w:tc>
        <w:tc>
          <w:tcPr>
            <w:tcW w:w="1056" w:type="dxa"/>
            <w:tcBorders>
              <w:top w:val="nil"/>
              <w:left w:val="nil"/>
              <w:bottom w:val="single" w:color="auto" w:sz="4" w:space="0"/>
              <w:right w:val="single" w:color="auto" w:sz="4" w:space="0"/>
            </w:tcBorders>
            <w:noWrap/>
            <w:vAlign w:val="center"/>
          </w:tcPr>
          <w:p w14:paraId="7D323C63">
            <w:pPr>
              <w:jc w:val="right"/>
              <w:rPr>
                <w:rFonts w:hint="eastAsia" w:ascii="宋体" w:hAnsi="宋体" w:cs="宋体"/>
                <w:color w:val="000000"/>
                <w:kern w:val="0"/>
                <w:szCs w:val="21"/>
              </w:rPr>
            </w:pPr>
            <w:r>
              <w:rPr>
                <w:color w:val="000000"/>
                <w:kern w:val="0"/>
                <w:szCs w:val="21"/>
                <w:lang w:bidi="ar"/>
              </w:rPr>
              <w:t>-99.08</w:t>
            </w:r>
          </w:p>
        </w:tc>
      </w:tr>
      <w:tr w14:paraId="1C2B76CB">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3BA8A944">
            <w:pPr>
              <w:rPr>
                <w:rFonts w:hint="eastAsia" w:ascii="宋体" w:hAnsi="宋体" w:cs="宋体"/>
                <w:color w:val="000000"/>
                <w:kern w:val="0"/>
                <w:szCs w:val="21"/>
              </w:rPr>
            </w:pPr>
            <w:r>
              <w:rPr>
                <w:rFonts w:hint="eastAsia" w:cs="宋体"/>
                <w:kern w:val="0"/>
                <w:szCs w:val="21"/>
                <w:lang w:bidi="ar"/>
              </w:rPr>
              <w:t>使用权资产</w:t>
            </w:r>
          </w:p>
        </w:tc>
        <w:tc>
          <w:tcPr>
            <w:tcW w:w="2160" w:type="dxa"/>
            <w:tcBorders>
              <w:top w:val="nil"/>
              <w:left w:val="nil"/>
              <w:bottom w:val="single" w:color="auto" w:sz="4" w:space="0"/>
              <w:right w:val="single" w:color="auto" w:sz="4" w:space="0"/>
            </w:tcBorders>
            <w:noWrap/>
            <w:vAlign w:val="center"/>
          </w:tcPr>
          <w:p w14:paraId="50727191">
            <w:pPr>
              <w:jc w:val="right"/>
              <w:rPr>
                <w:rFonts w:hint="eastAsia" w:ascii="宋体" w:hAnsi="宋体" w:cs="宋体"/>
                <w:color w:val="000000"/>
                <w:kern w:val="0"/>
                <w:szCs w:val="21"/>
              </w:rPr>
            </w:pPr>
            <w:r>
              <w:rPr>
                <w:kern w:val="0"/>
                <w:szCs w:val="21"/>
                <w:lang w:bidi="ar"/>
              </w:rPr>
              <w:t>49,112,045.32</w:t>
            </w:r>
          </w:p>
        </w:tc>
        <w:tc>
          <w:tcPr>
            <w:tcW w:w="2040" w:type="dxa"/>
            <w:tcBorders>
              <w:top w:val="nil"/>
              <w:left w:val="nil"/>
              <w:bottom w:val="single" w:color="auto" w:sz="4" w:space="0"/>
              <w:right w:val="single" w:color="auto" w:sz="4" w:space="0"/>
            </w:tcBorders>
            <w:noWrap/>
          </w:tcPr>
          <w:p w14:paraId="517B95AD">
            <w:pPr>
              <w:jc w:val="right"/>
              <w:rPr>
                <w:rFonts w:hint="eastAsia" w:ascii="宋体" w:hAnsi="宋体" w:cs="宋体"/>
                <w:color w:val="000000"/>
                <w:kern w:val="0"/>
                <w:szCs w:val="21"/>
              </w:rPr>
            </w:pPr>
          </w:p>
        </w:tc>
        <w:tc>
          <w:tcPr>
            <w:tcW w:w="1056" w:type="dxa"/>
            <w:tcBorders>
              <w:top w:val="nil"/>
              <w:left w:val="nil"/>
              <w:bottom w:val="single" w:color="auto" w:sz="4" w:space="0"/>
              <w:right w:val="single" w:color="auto" w:sz="4" w:space="0"/>
            </w:tcBorders>
            <w:noWrap/>
            <w:vAlign w:val="center"/>
          </w:tcPr>
          <w:p w14:paraId="0D29EB10">
            <w:pPr>
              <w:jc w:val="right"/>
              <w:rPr>
                <w:rFonts w:hint="eastAsia" w:ascii="宋体" w:hAnsi="宋体" w:cs="宋体"/>
                <w:color w:val="000000"/>
                <w:kern w:val="0"/>
                <w:szCs w:val="21"/>
              </w:rPr>
            </w:pPr>
          </w:p>
        </w:tc>
      </w:tr>
      <w:tr w14:paraId="423F6F62">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4A790324">
            <w:pPr>
              <w:rPr>
                <w:rFonts w:hint="eastAsia" w:ascii="宋体" w:hAnsi="宋体" w:cs="宋体"/>
                <w:color w:val="000000"/>
                <w:kern w:val="0"/>
                <w:szCs w:val="21"/>
              </w:rPr>
            </w:pPr>
            <w:r>
              <w:rPr>
                <w:rFonts w:hint="eastAsia" w:cs="宋体"/>
                <w:kern w:val="0"/>
                <w:szCs w:val="21"/>
                <w:lang w:bidi="ar"/>
              </w:rPr>
              <w:t>无形资产</w:t>
            </w:r>
          </w:p>
        </w:tc>
        <w:tc>
          <w:tcPr>
            <w:tcW w:w="2160" w:type="dxa"/>
            <w:tcBorders>
              <w:top w:val="nil"/>
              <w:left w:val="nil"/>
              <w:bottom w:val="single" w:color="auto" w:sz="4" w:space="0"/>
              <w:right w:val="single" w:color="auto" w:sz="4" w:space="0"/>
            </w:tcBorders>
            <w:noWrap/>
            <w:vAlign w:val="center"/>
          </w:tcPr>
          <w:p w14:paraId="1F7A5B2A">
            <w:pPr>
              <w:jc w:val="right"/>
              <w:rPr>
                <w:rFonts w:hint="eastAsia" w:ascii="宋体" w:hAnsi="宋体" w:cs="宋体"/>
                <w:color w:val="000000"/>
                <w:kern w:val="0"/>
                <w:szCs w:val="21"/>
              </w:rPr>
            </w:pPr>
            <w:r>
              <w:rPr>
                <w:kern w:val="0"/>
                <w:szCs w:val="21"/>
                <w:lang w:bidi="ar"/>
              </w:rPr>
              <w:t>1,165,706,178.53</w:t>
            </w:r>
          </w:p>
        </w:tc>
        <w:tc>
          <w:tcPr>
            <w:tcW w:w="2040" w:type="dxa"/>
            <w:tcBorders>
              <w:top w:val="nil"/>
              <w:left w:val="nil"/>
              <w:bottom w:val="single" w:color="auto" w:sz="4" w:space="0"/>
              <w:right w:val="single" w:color="auto" w:sz="4" w:space="0"/>
            </w:tcBorders>
            <w:noWrap/>
          </w:tcPr>
          <w:p w14:paraId="340820FE">
            <w:pPr>
              <w:jc w:val="right"/>
              <w:rPr>
                <w:rFonts w:hint="eastAsia" w:ascii="宋体" w:hAnsi="宋体" w:cs="宋体"/>
                <w:color w:val="000000"/>
                <w:kern w:val="0"/>
                <w:szCs w:val="21"/>
              </w:rPr>
            </w:pPr>
            <w:r>
              <w:rPr>
                <w:kern w:val="0"/>
                <w:szCs w:val="21"/>
                <w:lang w:bidi="ar"/>
              </w:rPr>
              <w:t>1,061,210,857.38</w:t>
            </w:r>
          </w:p>
        </w:tc>
        <w:tc>
          <w:tcPr>
            <w:tcW w:w="1056" w:type="dxa"/>
            <w:tcBorders>
              <w:top w:val="nil"/>
              <w:left w:val="nil"/>
              <w:bottom w:val="single" w:color="auto" w:sz="4" w:space="0"/>
              <w:right w:val="single" w:color="auto" w:sz="4" w:space="0"/>
            </w:tcBorders>
            <w:noWrap/>
            <w:vAlign w:val="center"/>
          </w:tcPr>
          <w:p w14:paraId="36E675BC">
            <w:pPr>
              <w:jc w:val="right"/>
              <w:rPr>
                <w:rFonts w:hint="eastAsia" w:ascii="宋体" w:hAnsi="宋体" w:cs="宋体"/>
                <w:color w:val="000000"/>
                <w:kern w:val="0"/>
                <w:szCs w:val="21"/>
              </w:rPr>
            </w:pPr>
            <w:r>
              <w:rPr>
                <w:color w:val="000000"/>
                <w:kern w:val="0"/>
                <w:szCs w:val="21"/>
                <w:lang w:bidi="ar"/>
              </w:rPr>
              <w:t>9.85</w:t>
            </w:r>
          </w:p>
        </w:tc>
      </w:tr>
      <w:tr w14:paraId="6F92EB10">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16A0E463">
            <w:pPr>
              <w:rPr>
                <w:rFonts w:hint="eastAsia" w:ascii="宋体" w:hAnsi="宋体" w:cs="宋体"/>
                <w:color w:val="000000"/>
                <w:kern w:val="0"/>
                <w:szCs w:val="21"/>
              </w:rPr>
            </w:pPr>
            <w:r>
              <w:rPr>
                <w:rFonts w:hint="eastAsia" w:cs="宋体"/>
                <w:kern w:val="0"/>
                <w:szCs w:val="21"/>
                <w:lang w:bidi="ar"/>
              </w:rPr>
              <w:t>长期待摊费用</w:t>
            </w:r>
          </w:p>
        </w:tc>
        <w:tc>
          <w:tcPr>
            <w:tcW w:w="2160" w:type="dxa"/>
            <w:tcBorders>
              <w:top w:val="nil"/>
              <w:left w:val="nil"/>
              <w:bottom w:val="single" w:color="auto" w:sz="4" w:space="0"/>
              <w:right w:val="single" w:color="auto" w:sz="4" w:space="0"/>
            </w:tcBorders>
            <w:noWrap/>
            <w:vAlign w:val="center"/>
          </w:tcPr>
          <w:p w14:paraId="35665F04">
            <w:pPr>
              <w:jc w:val="right"/>
              <w:rPr>
                <w:rFonts w:hint="eastAsia" w:ascii="宋体" w:hAnsi="宋体" w:cs="宋体"/>
                <w:color w:val="000000"/>
                <w:kern w:val="0"/>
                <w:szCs w:val="21"/>
              </w:rPr>
            </w:pPr>
            <w:r>
              <w:rPr>
                <w:kern w:val="0"/>
                <w:szCs w:val="21"/>
                <w:lang w:bidi="ar"/>
              </w:rPr>
              <w:t>482,056,686.68</w:t>
            </w:r>
          </w:p>
        </w:tc>
        <w:tc>
          <w:tcPr>
            <w:tcW w:w="2040" w:type="dxa"/>
            <w:tcBorders>
              <w:top w:val="nil"/>
              <w:left w:val="nil"/>
              <w:bottom w:val="single" w:color="auto" w:sz="4" w:space="0"/>
              <w:right w:val="single" w:color="auto" w:sz="4" w:space="0"/>
            </w:tcBorders>
            <w:noWrap/>
          </w:tcPr>
          <w:p w14:paraId="3357E702">
            <w:pPr>
              <w:jc w:val="right"/>
              <w:rPr>
                <w:rFonts w:hint="eastAsia" w:ascii="宋体" w:hAnsi="宋体" w:cs="宋体"/>
                <w:color w:val="000000"/>
                <w:kern w:val="0"/>
                <w:szCs w:val="21"/>
              </w:rPr>
            </w:pPr>
            <w:r>
              <w:rPr>
                <w:kern w:val="0"/>
                <w:szCs w:val="21"/>
                <w:lang w:bidi="ar"/>
              </w:rPr>
              <w:t>523,582,429.79</w:t>
            </w:r>
          </w:p>
        </w:tc>
        <w:tc>
          <w:tcPr>
            <w:tcW w:w="1056" w:type="dxa"/>
            <w:tcBorders>
              <w:top w:val="nil"/>
              <w:left w:val="nil"/>
              <w:bottom w:val="single" w:color="auto" w:sz="4" w:space="0"/>
              <w:right w:val="single" w:color="auto" w:sz="4" w:space="0"/>
            </w:tcBorders>
            <w:noWrap/>
            <w:vAlign w:val="center"/>
          </w:tcPr>
          <w:p w14:paraId="4E46074D">
            <w:pPr>
              <w:jc w:val="right"/>
              <w:rPr>
                <w:rFonts w:hint="eastAsia" w:ascii="宋体" w:hAnsi="宋体" w:cs="宋体"/>
                <w:color w:val="000000"/>
                <w:kern w:val="0"/>
                <w:szCs w:val="21"/>
              </w:rPr>
            </w:pPr>
            <w:r>
              <w:rPr>
                <w:color w:val="000000"/>
                <w:kern w:val="0"/>
                <w:szCs w:val="21"/>
                <w:lang w:bidi="ar"/>
              </w:rPr>
              <w:t>-7.93</w:t>
            </w:r>
          </w:p>
        </w:tc>
      </w:tr>
      <w:tr w14:paraId="7B712422">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7250B9B3">
            <w:pPr>
              <w:rPr>
                <w:rFonts w:hint="eastAsia" w:ascii="宋体" w:hAnsi="宋体" w:cs="宋体"/>
                <w:color w:val="000000"/>
                <w:kern w:val="0"/>
                <w:szCs w:val="21"/>
              </w:rPr>
            </w:pPr>
            <w:r>
              <w:rPr>
                <w:rFonts w:hint="eastAsia" w:cs="宋体"/>
                <w:kern w:val="0"/>
                <w:szCs w:val="21"/>
                <w:lang w:bidi="ar"/>
              </w:rPr>
              <w:t>递延所得税资产</w:t>
            </w:r>
          </w:p>
        </w:tc>
        <w:tc>
          <w:tcPr>
            <w:tcW w:w="2160" w:type="dxa"/>
            <w:tcBorders>
              <w:top w:val="nil"/>
              <w:left w:val="nil"/>
              <w:bottom w:val="single" w:color="auto" w:sz="4" w:space="0"/>
              <w:right w:val="single" w:color="auto" w:sz="4" w:space="0"/>
            </w:tcBorders>
            <w:noWrap/>
            <w:vAlign w:val="center"/>
          </w:tcPr>
          <w:p w14:paraId="1DF0EFA8">
            <w:pPr>
              <w:jc w:val="right"/>
              <w:rPr>
                <w:rFonts w:hint="eastAsia" w:ascii="宋体" w:hAnsi="宋体" w:cs="宋体"/>
                <w:color w:val="000000"/>
                <w:kern w:val="0"/>
                <w:szCs w:val="21"/>
              </w:rPr>
            </w:pPr>
            <w:r>
              <w:rPr>
                <w:kern w:val="0"/>
                <w:szCs w:val="21"/>
                <w:lang w:bidi="ar"/>
              </w:rPr>
              <w:t>3,369,180.27</w:t>
            </w:r>
          </w:p>
        </w:tc>
        <w:tc>
          <w:tcPr>
            <w:tcW w:w="2040" w:type="dxa"/>
            <w:tcBorders>
              <w:top w:val="nil"/>
              <w:left w:val="nil"/>
              <w:bottom w:val="single" w:color="auto" w:sz="4" w:space="0"/>
              <w:right w:val="single" w:color="auto" w:sz="4" w:space="0"/>
            </w:tcBorders>
            <w:noWrap/>
          </w:tcPr>
          <w:p w14:paraId="3F26BB9A">
            <w:pPr>
              <w:jc w:val="right"/>
              <w:rPr>
                <w:rFonts w:hint="eastAsia" w:ascii="宋体" w:hAnsi="宋体" w:cs="宋体"/>
                <w:color w:val="000000"/>
                <w:kern w:val="0"/>
                <w:szCs w:val="21"/>
              </w:rPr>
            </w:pPr>
            <w:r>
              <w:rPr>
                <w:kern w:val="0"/>
                <w:szCs w:val="21"/>
                <w:lang w:bidi="ar"/>
              </w:rPr>
              <w:t>3,522,997.69</w:t>
            </w:r>
          </w:p>
        </w:tc>
        <w:tc>
          <w:tcPr>
            <w:tcW w:w="1056" w:type="dxa"/>
            <w:tcBorders>
              <w:top w:val="nil"/>
              <w:left w:val="nil"/>
              <w:bottom w:val="single" w:color="auto" w:sz="4" w:space="0"/>
              <w:right w:val="single" w:color="auto" w:sz="4" w:space="0"/>
            </w:tcBorders>
            <w:noWrap/>
            <w:vAlign w:val="center"/>
          </w:tcPr>
          <w:p w14:paraId="4BF7C5EE">
            <w:pPr>
              <w:jc w:val="right"/>
              <w:rPr>
                <w:rFonts w:hint="eastAsia" w:ascii="宋体" w:hAnsi="宋体" w:cs="宋体"/>
                <w:color w:val="000000"/>
                <w:kern w:val="0"/>
                <w:szCs w:val="21"/>
              </w:rPr>
            </w:pPr>
            <w:r>
              <w:rPr>
                <w:color w:val="000000"/>
                <w:kern w:val="0"/>
                <w:szCs w:val="21"/>
                <w:lang w:bidi="ar"/>
              </w:rPr>
              <w:t>-4.37</w:t>
            </w:r>
          </w:p>
        </w:tc>
      </w:tr>
      <w:tr w14:paraId="3724B882">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3E84230A">
            <w:pPr>
              <w:rPr>
                <w:rFonts w:hint="eastAsia" w:ascii="宋体" w:hAnsi="宋体" w:cs="宋体"/>
                <w:color w:val="000000"/>
                <w:kern w:val="0"/>
                <w:szCs w:val="21"/>
              </w:rPr>
            </w:pPr>
            <w:r>
              <w:rPr>
                <w:rFonts w:hint="eastAsia" w:cs="宋体"/>
                <w:kern w:val="0"/>
                <w:szCs w:val="21"/>
                <w:lang w:bidi="ar"/>
              </w:rPr>
              <w:t>其他非流动资产</w:t>
            </w:r>
          </w:p>
        </w:tc>
        <w:tc>
          <w:tcPr>
            <w:tcW w:w="2160" w:type="dxa"/>
            <w:tcBorders>
              <w:top w:val="nil"/>
              <w:left w:val="nil"/>
              <w:bottom w:val="single" w:color="auto" w:sz="4" w:space="0"/>
              <w:right w:val="single" w:color="auto" w:sz="4" w:space="0"/>
            </w:tcBorders>
            <w:noWrap/>
            <w:vAlign w:val="center"/>
          </w:tcPr>
          <w:p w14:paraId="6E4105AE">
            <w:pPr>
              <w:jc w:val="right"/>
              <w:rPr>
                <w:rFonts w:hint="eastAsia" w:ascii="宋体" w:hAnsi="宋体" w:cs="宋体"/>
                <w:color w:val="000000"/>
                <w:kern w:val="0"/>
                <w:szCs w:val="21"/>
              </w:rPr>
            </w:pPr>
            <w:r>
              <w:rPr>
                <w:kern w:val="0"/>
                <w:szCs w:val="21"/>
                <w:lang w:bidi="ar"/>
              </w:rPr>
              <w:t>144,063,362.44</w:t>
            </w:r>
          </w:p>
        </w:tc>
        <w:tc>
          <w:tcPr>
            <w:tcW w:w="2040" w:type="dxa"/>
            <w:tcBorders>
              <w:top w:val="nil"/>
              <w:left w:val="nil"/>
              <w:bottom w:val="single" w:color="auto" w:sz="4" w:space="0"/>
              <w:right w:val="single" w:color="auto" w:sz="4" w:space="0"/>
            </w:tcBorders>
            <w:noWrap/>
          </w:tcPr>
          <w:p w14:paraId="4F83D640">
            <w:pPr>
              <w:jc w:val="right"/>
              <w:rPr>
                <w:rFonts w:hint="eastAsia" w:ascii="宋体" w:hAnsi="宋体" w:cs="宋体"/>
                <w:color w:val="000000"/>
                <w:kern w:val="0"/>
                <w:szCs w:val="21"/>
              </w:rPr>
            </w:pPr>
            <w:r>
              <w:rPr>
                <w:kern w:val="0"/>
                <w:szCs w:val="21"/>
                <w:lang w:bidi="ar"/>
              </w:rPr>
              <w:t>168,662,230.78</w:t>
            </w:r>
          </w:p>
        </w:tc>
        <w:tc>
          <w:tcPr>
            <w:tcW w:w="1056" w:type="dxa"/>
            <w:tcBorders>
              <w:top w:val="nil"/>
              <w:left w:val="nil"/>
              <w:bottom w:val="single" w:color="auto" w:sz="4" w:space="0"/>
              <w:right w:val="single" w:color="auto" w:sz="4" w:space="0"/>
            </w:tcBorders>
            <w:noWrap/>
            <w:vAlign w:val="center"/>
          </w:tcPr>
          <w:p w14:paraId="0FBF40C6">
            <w:pPr>
              <w:jc w:val="right"/>
              <w:rPr>
                <w:rFonts w:hint="eastAsia" w:ascii="宋体" w:hAnsi="宋体" w:cs="宋体"/>
                <w:color w:val="000000"/>
                <w:kern w:val="0"/>
                <w:szCs w:val="21"/>
              </w:rPr>
            </w:pPr>
            <w:r>
              <w:rPr>
                <w:color w:val="000000"/>
                <w:kern w:val="0"/>
                <w:szCs w:val="21"/>
                <w:lang w:bidi="ar"/>
              </w:rPr>
              <w:t>-14.58</w:t>
            </w:r>
          </w:p>
        </w:tc>
      </w:tr>
      <w:tr w14:paraId="4DD855D0">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16C71F22">
            <w:pPr>
              <w:rPr>
                <w:rFonts w:hint="eastAsia" w:ascii="宋体" w:hAnsi="宋体" w:cs="宋体"/>
                <w:color w:val="000000"/>
                <w:kern w:val="0"/>
                <w:szCs w:val="21"/>
              </w:rPr>
            </w:pPr>
            <w:r>
              <w:rPr>
                <w:rFonts w:hint="eastAsia" w:cs="宋体"/>
                <w:kern w:val="0"/>
                <w:szCs w:val="21"/>
                <w:lang w:bidi="ar"/>
              </w:rPr>
              <w:t>短期借款</w:t>
            </w:r>
          </w:p>
        </w:tc>
        <w:tc>
          <w:tcPr>
            <w:tcW w:w="2160" w:type="dxa"/>
            <w:tcBorders>
              <w:top w:val="nil"/>
              <w:left w:val="nil"/>
              <w:bottom w:val="single" w:color="auto" w:sz="4" w:space="0"/>
              <w:right w:val="single" w:color="auto" w:sz="4" w:space="0"/>
            </w:tcBorders>
            <w:noWrap/>
            <w:vAlign w:val="center"/>
          </w:tcPr>
          <w:p w14:paraId="70020EE6">
            <w:pPr>
              <w:jc w:val="right"/>
              <w:rPr>
                <w:rFonts w:hint="eastAsia" w:ascii="宋体" w:hAnsi="宋体" w:cs="宋体"/>
                <w:color w:val="000000"/>
                <w:kern w:val="0"/>
                <w:szCs w:val="21"/>
              </w:rPr>
            </w:pPr>
            <w:r>
              <w:rPr>
                <w:kern w:val="0"/>
                <w:szCs w:val="21"/>
                <w:lang w:bidi="ar"/>
              </w:rPr>
              <w:t>2,229,374,400.00</w:t>
            </w:r>
          </w:p>
        </w:tc>
        <w:tc>
          <w:tcPr>
            <w:tcW w:w="2040" w:type="dxa"/>
            <w:tcBorders>
              <w:top w:val="nil"/>
              <w:left w:val="nil"/>
              <w:bottom w:val="single" w:color="auto" w:sz="4" w:space="0"/>
              <w:right w:val="single" w:color="auto" w:sz="4" w:space="0"/>
            </w:tcBorders>
            <w:noWrap/>
          </w:tcPr>
          <w:p w14:paraId="1A028C90">
            <w:pPr>
              <w:jc w:val="right"/>
              <w:rPr>
                <w:rFonts w:hint="eastAsia" w:ascii="宋体" w:hAnsi="宋体" w:cs="宋体"/>
                <w:color w:val="000000"/>
                <w:kern w:val="0"/>
                <w:szCs w:val="21"/>
              </w:rPr>
            </w:pPr>
            <w:r>
              <w:rPr>
                <w:kern w:val="0"/>
                <w:szCs w:val="21"/>
                <w:lang w:bidi="ar"/>
              </w:rPr>
              <w:t>2,173,990,724.97</w:t>
            </w:r>
          </w:p>
        </w:tc>
        <w:tc>
          <w:tcPr>
            <w:tcW w:w="1056" w:type="dxa"/>
            <w:tcBorders>
              <w:top w:val="nil"/>
              <w:left w:val="nil"/>
              <w:bottom w:val="single" w:color="auto" w:sz="4" w:space="0"/>
              <w:right w:val="single" w:color="auto" w:sz="4" w:space="0"/>
            </w:tcBorders>
            <w:noWrap/>
            <w:vAlign w:val="center"/>
          </w:tcPr>
          <w:p w14:paraId="6ED71F4A">
            <w:pPr>
              <w:jc w:val="right"/>
              <w:rPr>
                <w:rFonts w:hint="eastAsia" w:ascii="宋体" w:hAnsi="宋体" w:cs="宋体"/>
                <w:color w:val="000000"/>
                <w:kern w:val="0"/>
                <w:szCs w:val="21"/>
              </w:rPr>
            </w:pPr>
            <w:r>
              <w:rPr>
                <w:color w:val="000000"/>
                <w:kern w:val="0"/>
                <w:szCs w:val="21"/>
                <w:lang w:bidi="ar"/>
              </w:rPr>
              <w:t>2.55</w:t>
            </w:r>
          </w:p>
        </w:tc>
      </w:tr>
      <w:tr w14:paraId="6CCD2039">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7F60F72F">
            <w:pPr>
              <w:rPr>
                <w:rFonts w:hint="eastAsia" w:ascii="宋体" w:hAnsi="宋体" w:cs="宋体"/>
                <w:color w:val="000000"/>
                <w:kern w:val="0"/>
                <w:szCs w:val="21"/>
              </w:rPr>
            </w:pPr>
            <w:r>
              <w:rPr>
                <w:rFonts w:hint="eastAsia" w:cs="宋体"/>
                <w:kern w:val="0"/>
                <w:szCs w:val="21"/>
                <w:lang w:bidi="ar"/>
              </w:rPr>
              <w:t>应付账款</w:t>
            </w:r>
          </w:p>
        </w:tc>
        <w:tc>
          <w:tcPr>
            <w:tcW w:w="2160" w:type="dxa"/>
            <w:tcBorders>
              <w:top w:val="nil"/>
              <w:left w:val="nil"/>
              <w:bottom w:val="single" w:color="auto" w:sz="4" w:space="0"/>
              <w:right w:val="single" w:color="auto" w:sz="4" w:space="0"/>
            </w:tcBorders>
            <w:noWrap/>
            <w:vAlign w:val="center"/>
          </w:tcPr>
          <w:p w14:paraId="45F7B21F">
            <w:pPr>
              <w:jc w:val="right"/>
              <w:rPr>
                <w:rFonts w:hint="eastAsia" w:ascii="宋体" w:hAnsi="宋体" w:cs="宋体"/>
                <w:color w:val="000000"/>
                <w:kern w:val="0"/>
                <w:szCs w:val="21"/>
              </w:rPr>
            </w:pPr>
            <w:r>
              <w:rPr>
                <w:kern w:val="0"/>
                <w:szCs w:val="21"/>
                <w:lang w:bidi="ar"/>
              </w:rPr>
              <w:t>128,689,870.35</w:t>
            </w:r>
          </w:p>
        </w:tc>
        <w:tc>
          <w:tcPr>
            <w:tcW w:w="2040" w:type="dxa"/>
            <w:tcBorders>
              <w:top w:val="nil"/>
              <w:left w:val="nil"/>
              <w:bottom w:val="single" w:color="auto" w:sz="4" w:space="0"/>
              <w:right w:val="single" w:color="auto" w:sz="4" w:space="0"/>
            </w:tcBorders>
            <w:noWrap/>
          </w:tcPr>
          <w:p w14:paraId="4A792667">
            <w:pPr>
              <w:jc w:val="right"/>
              <w:rPr>
                <w:rFonts w:hint="eastAsia" w:ascii="宋体" w:hAnsi="宋体" w:cs="宋体"/>
                <w:color w:val="000000"/>
                <w:kern w:val="0"/>
                <w:szCs w:val="21"/>
              </w:rPr>
            </w:pPr>
            <w:r>
              <w:rPr>
                <w:kern w:val="0"/>
                <w:szCs w:val="21"/>
                <w:lang w:bidi="ar"/>
              </w:rPr>
              <w:t>219,981,612.52</w:t>
            </w:r>
          </w:p>
        </w:tc>
        <w:tc>
          <w:tcPr>
            <w:tcW w:w="1056" w:type="dxa"/>
            <w:tcBorders>
              <w:top w:val="nil"/>
              <w:left w:val="nil"/>
              <w:bottom w:val="single" w:color="auto" w:sz="4" w:space="0"/>
              <w:right w:val="single" w:color="auto" w:sz="4" w:space="0"/>
            </w:tcBorders>
            <w:noWrap/>
            <w:vAlign w:val="center"/>
          </w:tcPr>
          <w:p w14:paraId="24C320C6">
            <w:pPr>
              <w:jc w:val="right"/>
              <w:rPr>
                <w:rFonts w:hint="eastAsia" w:ascii="宋体" w:hAnsi="宋体" w:cs="宋体"/>
                <w:color w:val="000000"/>
                <w:kern w:val="0"/>
                <w:szCs w:val="21"/>
              </w:rPr>
            </w:pPr>
            <w:r>
              <w:rPr>
                <w:color w:val="000000"/>
                <w:kern w:val="0"/>
                <w:szCs w:val="21"/>
                <w:lang w:bidi="ar"/>
              </w:rPr>
              <w:t>-41.50</w:t>
            </w:r>
          </w:p>
        </w:tc>
      </w:tr>
      <w:tr w14:paraId="025B4150">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145A11D0">
            <w:pPr>
              <w:widowControl/>
              <w:textAlignment w:val="top"/>
              <w:rPr>
                <w:rFonts w:hint="eastAsia" w:ascii="宋体" w:hAnsi="宋体" w:cs="宋体"/>
                <w:color w:val="000000"/>
                <w:szCs w:val="21"/>
              </w:rPr>
            </w:pPr>
            <w:r>
              <w:rPr>
                <w:rFonts w:hint="eastAsia" w:ascii="宋体" w:hAnsi="宋体" w:cs="宋体"/>
                <w:color w:val="000000"/>
                <w:kern w:val="0"/>
                <w:szCs w:val="21"/>
                <w:lang w:bidi="ar"/>
              </w:rPr>
              <w:t>预收账款</w:t>
            </w:r>
          </w:p>
        </w:tc>
        <w:tc>
          <w:tcPr>
            <w:tcW w:w="2160" w:type="dxa"/>
            <w:tcBorders>
              <w:top w:val="nil"/>
              <w:left w:val="nil"/>
              <w:bottom w:val="single" w:color="auto" w:sz="4" w:space="0"/>
              <w:right w:val="single" w:color="auto" w:sz="4" w:space="0"/>
            </w:tcBorders>
            <w:noWrap/>
            <w:vAlign w:val="center"/>
          </w:tcPr>
          <w:p w14:paraId="5E6A09A4">
            <w:pPr>
              <w:widowControl/>
              <w:jc w:val="right"/>
              <w:textAlignment w:val="center"/>
              <w:rPr>
                <w:color w:val="000000"/>
                <w:szCs w:val="21"/>
              </w:rPr>
            </w:pPr>
            <w:r>
              <w:rPr>
                <w:color w:val="000000"/>
                <w:kern w:val="0"/>
                <w:szCs w:val="21"/>
                <w:lang w:bidi="ar"/>
              </w:rPr>
              <w:t>98,412.70</w:t>
            </w:r>
          </w:p>
        </w:tc>
        <w:tc>
          <w:tcPr>
            <w:tcW w:w="2040" w:type="dxa"/>
            <w:tcBorders>
              <w:top w:val="nil"/>
              <w:left w:val="nil"/>
              <w:bottom w:val="single" w:color="auto" w:sz="4" w:space="0"/>
              <w:right w:val="single" w:color="auto" w:sz="4" w:space="0"/>
            </w:tcBorders>
            <w:noWrap/>
          </w:tcPr>
          <w:p w14:paraId="2500B172">
            <w:pPr>
              <w:widowControl/>
              <w:jc w:val="right"/>
              <w:textAlignment w:val="top"/>
              <w:rPr>
                <w:color w:val="000000"/>
                <w:szCs w:val="21"/>
              </w:rPr>
            </w:pPr>
            <w:r>
              <w:rPr>
                <w:color w:val="000000"/>
                <w:kern w:val="0"/>
                <w:szCs w:val="21"/>
                <w:lang w:bidi="ar"/>
              </w:rPr>
              <w:t>1,272,709.21</w:t>
            </w:r>
          </w:p>
        </w:tc>
        <w:tc>
          <w:tcPr>
            <w:tcW w:w="1056" w:type="dxa"/>
            <w:tcBorders>
              <w:top w:val="nil"/>
              <w:left w:val="nil"/>
              <w:bottom w:val="single" w:color="auto" w:sz="4" w:space="0"/>
              <w:right w:val="single" w:color="auto" w:sz="4" w:space="0"/>
            </w:tcBorders>
            <w:noWrap/>
            <w:vAlign w:val="center"/>
          </w:tcPr>
          <w:p w14:paraId="26A4263A">
            <w:pPr>
              <w:jc w:val="right"/>
              <w:rPr>
                <w:color w:val="000000"/>
                <w:kern w:val="0"/>
                <w:szCs w:val="21"/>
                <w:lang w:bidi="ar"/>
              </w:rPr>
            </w:pPr>
            <w:r>
              <w:rPr>
                <w:rFonts w:hint="eastAsia"/>
                <w:color w:val="000000"/>
                <w:kern w:val="0"/>
                <w:szCs w:val="21"/>
                <w:lang w:bidi="ar"/>
              </w:rPr>
              <w:t>-92.27</w:t>
            </w:r>
          </w:p>
        </w:tc>
      </w:tr>
      <w:tr w14:paraId="5A4E1905">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01E53D0F">
            <w:pPr>
              <w:rPr>
                <w:rFonts w:hint="eastAsia" w:ascii="宋体" w:hAnsi="宋体" w:cs="宋体"/>
                <w:color w:val="000000"/>
                <w:kern w:val="0"/>
                <w:szCs w:val="21"/>
              </w:rPr>
            </w:pPr>
            <w:r>
              <w:rPr>
                <w:rFonts w:hint="eastAsia" w:cs="宋体"/>
                <w:kern w:val="0"/>
                <w:szCs w:val="21"/>
                <w:lang w:bidi="ar"/>
              </w:rPr>
              <w:t>合同负债</w:t>
            </w:r>
          </w:p>
        </w:tc>
        <w:tc>
          <w:tcPr>
            <w:tcW w:w="2160" w:type="dxa"/>
            <w:tcBorders>
              <w:top w:val="nil"/>
              <w:left w:val="nil"/>
              <w:bottom w:val="single" w:color="auto" w:sz="4" w:space="0"/>
              <w:right w:val="single" w:color="auto" w:sz="4" w:space="0"/>
            </w:tcBorders>
            <w:noWrap/>
            <w:vAlign w:val="center"/>
          </w:tcPr>
          <w:p w14:paraId="52641542">
            <w:pPr>
              <w:jc w:val="right"/>
              <w:rPr>
                <w:rFonts w:hint="eastAsia" w:ascii="宋体" w:hAnsi="宋体" w:cs="宋体"/>
                <w:color w:val="000000"/>
                <w:kern w:val="0"/>
                <w:szCs w:val="21"/>
              </w:rPr>
            </w:pPr>
            <w:r>
              <w:rPr>
                <w:kern w:val="0"/>
                <w:szCs w:val="21"/>
                <w:lang w:bidi="ar"/>
              </w:rPr>
              <w:t>94,726,213.18</w:t>
            </w:r>
          </w:p>
        </w:tc>
        <w:tc>
          <w:tcPr>
            <w:tcW w:w="2040" w:type="dxa"/>
            <w:tcBorders>
              <w:top w:val="nil"/>
              <w:left w:val="nil"/>
              <w:bottom w:val="single" w:color="auto" w:sz="4" w:space="0"/>
              <w:right w:val="single" w:color="auto" w:sz="4" w:space="0"/>
            </w:tcBorders>
            <w:noWrap/>
          </w:tcPr>
          <w:p w14:paraId="64906747">
            <w:pPr>
              <w:jc w:val="right"/>
              <w:rPr>
                <w:rFonts w:hint="eastAsia" w:ascii="宋体" w:hAnsi="宋体" w:cs="宋体"/>
                <w:color w:val="000000"/>
                <w:kern w:val="0"/>
                <w:szCs w:val="21"/>
              </w:rPr>
            </w:pPr>
            <w:r>
              <w:rPr>
                <w:kern w:val="0"/>
                <w:szCs w:val="21"/>
                <w:lang w:bidi="ar"/>
              </w:rPr>
              <w:t>72,205,369.51</w:t>
            </w:r>
          </w:p>
        </w:tc>
        <w:tc>
          <w:tcPr>
            <w:tcW w:w="1056" w:type="dxa"/>
            <w:tcBorders>
              <w:top w:val="nil"/>
              <w:left w:val="nil"/>
              <w:bottom w:val="single" w:color="auto" w:sz="4" w:space="0"/>
              <w:right w:val="single" w:color="auto" w:sz="4" w:space="0"/>
            </w:tcBorders>
            <w:noWrap/>
            <w:vAlign w:val="center"/>
          </w:tcPr>
          <w:p w14:paraId="12D6ECFB">
            <w:pPr>
              <w:jc w:val="right"/>
              <w:rPr>
                <w:rFonts w:hint="eastAsia" w:ascii="宋体" w:hAnsi="宋体" w:cs="宋体"/>
                <w:color w:val="000000"/>
                <w:kern w:val="0"/>
                <w:szCs w:val="21"/>
              </w:rPr>
            </w:pPr>
            <w:r>
              <w:rPr>
                <w:color w:val="000000"/>
                <w:kern w:val="0"/>
                <w:szCs w:val="21"/>
                <w:lang w:bidi="ar"/>
              </w:rPr>
              <w:t>31.19</w:t>
            </w:r>
          </w:p>
        </w:tc>
      </w:tr>
      <w:tr w14:paraId="786A252B">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0122CBBB">
            <w:pPr>
              <w:rPr>
                <w:rFonts w:hint="eastAsia" w:ascii="宋体" w:hAnsi="宋体" w:cs="宋体"/>
                <w:color w:val="000000"/>
                <w:kern w:val="0"/>
                <w:szCs w:val="21"/>
              </w:rPr>
            </w:pPr>
            <w:r>
              <w:rPr>
                <w:rFonts w:hint="eastAsia" w:cs="宋体"/>
                <w:kern w:val="0"/>
                <w:szCs w:val="21"/>
                <w:lang w:bidi="ar"/>
              </w:rPr>
              <w:t>应付职工薪酬</w:t>
            </w:r>
          </w:p>
        </w:tc>
        <w:tc>
          <w:tcPr>
            <w:tcW w:w="2160" w:type="dxa"/>
            <w:tcBorders>
              <w:top w:val="nil"/>
              <w:left w:val="nil"/>
              <w:bottom w:val="single" w:color="auto" w:sz="4" w:space="0"/>
              <w:right w:val="single" w:color="auto" w:sz="4" w:space="0"/>
            </w:tcBorders>
            <w:noWrap/>
            <w:vAlign w:val="center"/>
          </w:tcPr>
          <w:p w14:paraId="2EEE8287">
            <w:pPr>
              <w:jc w:val="right"/>
              <w:rPr>
                <w:rFonts w:hint="eastAsia" w:ascii="宋体" w:hAnsi="宋体" w:cs="宋体"/>
                <w:color w:val="000000"/>
                <w:kern w:val="0"/>
                <w:szCs w:val="21"/>
              </w:rPr>
            </w:pPr>
            <w:r>
              <w:rPr>
                <w:kern w:val="0"/>
                <w:szCs w:val="21"/>
                <w:lang w:bidi="ar"/>
              </w:rPr>
              <w:t>93,584,202.70</w:t>
            </w:r>
          </w:p>
        </w:tc>
        <w:tc>
          <w:tcPr>
            <w:tcW w:w="2040" w:type="dxa"/>
            <w:tcBorders>
              <w:top w:val="nil"/>
              <w:left w:val="nil"/>
              <w:bottom w:val="single" w:color="auto" w:sz="4" w:space="0"/>
              <w:right w:val="single" w:color="auto" w:sz="4" w:space="0"/>
            </w:tcBorders>
            <w:noWrap/>
          </w:tcPr>
          <w:p w14:paraId="0F12345D">
            <w:pPr>
              <w:jc w:val="right"/>
              <w:rPr>
                <w:rFonts w:hint="eastAsia" w:ascii="宋体" w:hAnsi="宋体" w:cs="宋体"/>
                <w:color w:val="000000"/>
                <w:kern w:val="0"/>
                <w:szCs w:val="21"/>
              </w:rPr>
            </w:pPr>
            <w:r>
              <w:rPr>
                <w:kern w:val="0"/>
                <w:szCs w:val="21"/>
                <w:lang w:bidi="ar"/>
              </w:rPr>
              <w:t>96,261,960.43</w:t>
            </w:r>
          </w:p>
        </w:tc>
        <w:tc>
          <w:tcPr>
            <w:tcW w:w="1056" w:type="dxa"/>
            <w:tcBorders>
              <w:top w:val="nil"/>
              <w:left w:val="nil"/>
              <w:bottom w:val="single" w:color="auto" w:sz="4" w:space="0"/>
              <w:right w:val="single" w:color="auto" w:sz="4" w:space="0"/>
            </w:tcBorders>
            <w:noWrap/>
            <w:vAlign w:val="center"/>
          </w:tcPr>
          <w:p w14:paraId="486F7F0E">
            <w:pPr>
              <w:jc w:val="right"/>
              <w:rPr>
                <w:rFonts w:hint="eastAsia" w:ascii="宋体" w:hAnsi="宋体" w:cs="宋体"/>
                <w:color w:val="000000"/>
                <w:kern w:val="0"/>
                <w:szCs w:val="21"/>
              </w:rPr>
            </w:pPr>
            <w:r>
              <w:rPr>
                <w:color w:val="000000"/>
                <w:kern w:val="0"/>
                <w:szCs w:val="21"/>
                <w:lang w:bidi="ar"/>
              </w:rPr>
              <w:t>-2.78</w:t>
            </w:r>
          </w:p>
        </w:tc>
      </w:tr>
      <w:tr w14:paraId="645CE88F">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1B20EC7E">
            <w:pPr>
              <w:rPr>
                <w:rFonts w:hint="eastAsia" w:ascii="宋体" w:hAnsi="宋体" w:cs="宋体"/>
                <w:color w:val="000000"/>
                <w:kern w:val="0"/>
                <w:szCs w:val="21"/>
              </w:rPr>
            </w:pPr>
            <w:r>
              <w:rPr>
                <w:rFonts w:hint="eastAsia" w:cs="宋体"/>
                <w:kern w:val="0"/>
                <w:szCs w:val="21"/>
                <w:lang w:bidi="ar"/>
              </w:rPr>
              <w:t>应交税费</w:t>
            </w:r>
          </w:p>
        </w:tc>
        <w:tc>
          <w:tcPr>
            <w:tcW w:w="2160" w:type="dxa"/>
            <w:tcBorders>
              <w:top w:val="nil"/>
              <w:left w:val="nil"/>
              <w:bottom w:val="single" w:color="auto" w:sz="4" w:space="0"/>
              <w:right w:val="single" w:color="auto" w:sz="4" w:space="0"/>
            </w:tcBorders>
            <w:noWrap/>
            <w:vAlign w:val="center"/>
          </w:tcPr>
          <w:p w14:paraId="591D59A4">
            <w:pPr>
              <w:jc w:val="right"/>
              <w:rPr>
                <w:rFonts w:hint="eastAsia" w:ascii="宋体" w:hAnsi="宋体" w:cs="宋体"/>
                <w:color w:val="000000"/>
                <w:kern w:val="0"/>
                <w:szCs w:val="21"/>
              </w:rPr>
            </w:pPr>
            <w:r>
              <w:rPr>
                <w:kern w:val="0"/>
                <w:szCs w:val="21"/>
                <w:lang w:bidi="ar"/>
              </w:rPr>
              <w:t>28,547,415.04</w:t>
            </w:r>
          </w:p>
        </w:tc>
        <w:tc>
          <w:tcPr>
            <w:tcW w:w="2040" w:type="dxa"/>
            <w:tcBorders>
              <w:top w:val="nil"/>
              <w:left w:val="nil"/>
              <w:bottom w:val="single" w:color="auto" w:sz="4" w:space="0"/>
              <w:right w:val="single" w:color="auto" w:sz="4" w:space="0"/>
            </w:tcBorders>
            <w:noWrap/>
          </w:tcPr>
          <w:p w14:paraId="5604C770">
            <w:pPr>
              <w:jc w:val="right"/>
              <w:rPr>
                <w:rFonts w:hint="eastAsia" w:ascii="宋体" w:hAnsi="宋体" w:cs="宋体"/>
                <w:color w:val="000000"/>
                <w:kern w:val="0"/>
                <w:szCs w:val="21"/>
              </w:rPr>
            </w:pPr>
            <w:r>
              <w:rPr>
                <w:kern w:val="0"/>
                <w:szCs w:val="21"/>
                <w:lang w:bidi="ar"/>
              </w:rPr>
              <w:t>27,337,797.77</w:t>
            </w:r>
          </w:p>
        </w:tc>
        <w:tc>
          <w:tcPr>
            <w:tcW w:w="1056" w:type="dxa"/>
            <w:tcBorders>
              <w:top w:val="nil"/>
              <w:left w:val="nil"/>
              <w:bottom w:val="single" w:color="auto" w:sz="4" w:space="0"/>
              <w:right w:val="single" w:color="auto" w:sz="4" w:space="0"/>
            </w:tcBorders>
            <w:noWrap/>
            <w:vAlign w:val="center"/>
          </w:tcPr>
          <w:p w14:paraId="1063EBE2">
            <w:pPr>
              <w:jc w:val="right"/>
              <w:rPr>
                <w:rFonts w:hint="eastAsia" w:ascii="宋体" w:hAnsi="宋体" w:cs="宋体"/>
                <w:color w:val="000000"/>
                <w:kern w:val="0"/>
                <w:szCs w:val="21"/>
              </w:rPr>
            </w:pPr>
            <w:r>
              <w:rPr>
                <w:color w:val="000000"/>
                <w:kern w:val="0"/>
                <w:szCs w:val="21"/>
                <w:lang w:bidi="ar"/>
              </w:rPr>
              <w:t>4.42</w:t>
            </w:r>
          </w:p>
        </w:tc>
      </w:tr>
      <w:tr w14:paraId="5DED6708">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5B529D46">
            <w:pPr>
              <w:rPr>
                <w:rFonts w:hint="eastAsia" w:ascii="宋体" w:hAnsi="宋体" w:cs="宋体"/>
                <w:color w:val="000000"/>
                <w:kern w:val="0"/>
                <w:szCs w:val="21"/>
              </w:rPr>
            </w:pPr>
            <w:r>
              <w:rPr>
                <w:rFonts w:hint="eastAsia" w:cs="宋体"/>
                <w:kern w:val="0"/>
                <w:szCs w:val="21"/>
                <w:lang w:bidi="ar"/>
              </w:rPr>
              <w:t>应付利息</w:t>
            </w:r>
          </w:p>
        </w:tc>
        <w:tc>
          <w:tcPr>
            <w:tcW w:w="2160" w:type="dxa"/>
            <w:tcBorders>
              <w:top w:val="nil"/>
              <w:left w:val="nil"/>
              <w:bottom w:val="single" w:color="auto" w:sz="4" w:space="0"/>
              <w:right w:val="single" w:color="auto" w:sz="4" w:space="0"/>
            </w:tcBorders>
            <w:noWrap/>
            <w:vAlign w:val="center"/>
          </w:tcPr>
          <w:p w14:paraId="0B6872C8">
            <w:pPr>
              <w:jc w:val="right"/>
              <w:rPr>
                <w:rFonts w:hint="eastAsia" w:ascii="宋体" w:hAnsi="宋体" w:cs="宋体"/>
                <w:color w:val="000000"/>
                <w:kern w:val="0"/>
                <w:szCs w:val="21"/>
              </w:rPr>
            </w:pPr>
          </w:p>
        </w:tc>
        <w:tc>
          <w:tcPr>
            <w:tcW w:w="2040" w:type="dxa"/>
            <w:tcBorders>
              <w:top w:val="nil"/>
              <w:left w:val="nil"/>
              <w:bottom w:val="single" w:color="auto" w:sz="4" w:space="0"/>
              <w:right w:val="single" w:color="auto" w:sz="4" w:space="0"/>
            </w:tcBorders>
            <w:noWrap/>
          </w:tcPr>
          <w:p w14:paraId="410808CC">
            <w:pPr>
              <w:jc w:val="right"/>
              <w:rPr>
                <w:rFonts w:hint="eastAsia" w:ascii="宋体" w:hAnsi="宋体" w:cs="宋体"/>
                <w:color w:val="000000"/>
                <w:kern w:val="0"/>
                <w:szCs w:val="21"/>
              </w:rPr>
            </w:pPr>
          </w:p>
        </w:tc>
        <w:tc>
          <w:tcPr>
            <w:tcW w:w="1056" w:type="dxa"/>
            <w:tcBorders>
              <w:top w:val="nil"/>
              <w:left w:val="nil"/>
              <w:bottom w:val="single" w:color="auto" w:sz="4" w:space="0"/>
              <w:right w:val="single" w:color="auto" w:sz="4" w:space="0"/>
            </w:tcBorders>
            <w:noWrap/>
            <w:vAlign w:val="center"/>
          </w:tcPr>
          <w:p w14:paraId="6C463F0B">
            <w:pPr>
              <w:jc w:val="right"/>
              <w:rPr>
                <w:rFonts w:hint="eastAsia" w:ascii="宋体" w:hAnsi="宋体" w:cs="宋体"/>
                <w:color w:val="000000"/>
                <w:kern w:val="0"/>
                <w:szCs w:val="21"/>
              </w:rPr>
            </w:pPr>
          </w:p>
        </w:tc>
      </w:tr>
      <w:tr w14:paraId="63B5EB08">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7796763E">
            <w:pPr>
              <w:rPr>
                <w:rFonts w:hint="eastAsia" w:ascii="宋体" w:hAnsi="宋体" w:cs="宋体"/>
                <w:color w:val="000000"/>
                <w:kern w:val="0"/>
                <w:szCs w:val="21"/>
              </w:rPr>
            </w:pPr>
            <w:r>
              <w:rPr>
                <w:rFonts w:hint="eastAsia" w:cs="宋体"/>
                <w:kern w:val="0"/>
                <w:szCs w:val="21"/>
                <w:lang w:bidi="ar"/>
              </w:rPr>
              <w:t>应付股利</w:t>
            </w:r>
          </w:p>
        </w:tc>
        <w:tc>
          <w:tcPr>
            <w:tcW w:w="2160" w:type="dxa"/>
            <w:tcBorders>
              <w:top w:val="nil"/>
              <w:left w:val="nil"/>
              <w:bottom w:val="single" w:color="auto" w:sz="4" w:space="0"/>
              <w:right w:val="single" w:color="auto" w:sz="4" w:space="0"/>
            </w:tcBorders>
            <w:noWrap/>
            <w:vAlign w:val="center"/>
          </w:tcPr>
          <w:p w14:paraId="62432EA5">
            <w:pPr>
              <w:jc w:val="right"/>
              <w:rPr>
                <w:rFonts w:hint="eastAsia" w:ascii="宋体" w:hAnsi="宋体" w:cs="宋体"/>
                <w:color w:val="000000"/>
                <w:kern w:val="0"/>
                <w:szCs w:val="21"/>
              </w:rPr>
            </w:pPr>
            <w:r>
              <w:rPr>
                <w:kern w:val="0"/>
                <w:szCs w:val="21"/>
                <w:lang w:bidi="ar"/>
              </w:rPr>
              <w:t>3,783,174.25</w:t>
            </w:r>
          </w:p>
        </w:tc>
        <w:tc>
          <w:tcPr>
            <w:tcW w:w="2040" w:type="dxa"/>
            <w:tcBorders>
              <w:top w:val="nil"/>
              <w:left w:val="nil"/>
              <w:bottom w:val="single" w:color="auto" w:sz="4" w:space="0"/>
              <w:right w:val="single" w:color="auto" w:sz="4" w:space="0"/>
            </w:tcBorders>
            <w:noWrap/>
          </w:tcPr>
          <w:p w14:paraId="46614F2D">
            <w:pPr>
              <w:jc w:val="right"/>
              <w:rPr>
                <w:rFonts w:hint="eastAsia" w:ascii="宋体" w:hAnsi="宋体" w:cs="宋体"/>
                <w:color w:val="000000"/>
                <w:kern w:val="0"/>
                <w:szCs w:val="21"/>
              </w:rPr>
            </w:pPr>
            <w:r>
              <w:rPr>
                <w:kern w:val="0"/>
                <w:szCs w:val="21"/>
                <w:lang w:bidi="ar"/>
              </w:rPr>
              <w:t>1,736,787.04</w:t>
            </w:r>
          </w:p>
        </w:tc>
        <w:tc>
          <w:tcPr>
            <w:tcW w:w="1056" w:type="dxa"/>
            <w:tcBorders>
              <w:top w:val="nil"/>
              <w:left w:val="nil"/>
              <w:bottom w:val="single" w:color="auto" w:sz="4" w:space="0"/>
              <w:right w:val="single" w:color="auto" w:sz="4" w:space="0"/>
            </w:tcBorders>
            <w:noWrap/>
            <w:vAlign w:val="center"/>
          </w:tcPr>
          <w:p w14:paraId="1E274605">
            <w:pPr>
              <w:jc w:val="right"/>
              <w:rPr>
                <w:rFonts w:hint="eastAsia" w:ascii="宋体" w:hAnsi="宋体" w:cs="宋体"/>
                <w:color w:val="000000"/>
                <w:kern w:val="0"/>
                <w:szCs w:val="21"/>
              </w:rPr>
            </w:pPr>
            <w:r>
              <w:rPr>
                <w:color w:val="000000"/>
                <w:kern w:val="0"/>
                <w:szCs w:val="21"/>
                <w:lang w:bidi="ar"/>
              </w:rPr>
              <w:t>117.83</w:t>
            </w:r>
          </w:p>
        </w:tc>
      </w:tr>
      <w:tr w14:paraId="2E1E5505">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55067B1B">
            <w:pPr>
              <w:rPr>
                <w:rFonts w:hint="eastAsia" w:ascii="宋体" w:hAnsi="宋体" w:cs="宋体"/>
                <w:color w:val="000000"/>
                <w:kern w:val="0"/>
                <w:szCs w:val="21"/>
              </w:rPr>
            </w:pPr>
            <w:r>
              <w:rPr>
                <w:rFonts w:hint="eastAsia" w:cs="宋体"/>
                <w:kern w:val="0"/>
                <w:szCs w:val="21"/>
                <w:lang w:bidi="ar"/>
              </w:rPr>
              <w:t>其他应付款</w:t>
            </w:r>
          </w:p>
        </w:tc>
        <w:tc>
          <w:tcPr>
            <w:tcW w:w="2160" w:type="dxa"/>
            <w:tcBorders>
              <w:top w:val="nil"/>
              <w:left w:val="nil"/>
              <w:bottom w:val="single" w:color="auto" w:sz="4" w:space="0"/>
              <w:right w:val="single" w:color="auto" w:sz="4" w:space="0"/>
            </w:tcBorders>
            <w:noWrap/>
            <w:vAlign w:val="center"/>
          </w:tcPr>
          <w:p w14:paraId="74AD958B">
            <w:pPr>
              <w:jc w:val="right"/>
              <w:rPr>
                <w:rFonts w:hint="eastAsia" w:ascii="宋体" w:hAnsi="宋体" w:cs="宋体"/>
                <w:color w:val="000000"/>
                <w:kern w:val="0"/>
                <w:szCs w:val="21"/>
              </w:rPr>
            </w:pPr>
            <w:r>
              <w:rPr>
                <w:kern w:val="0"/>
                <w:szCs w:val="21"/>
                <w:lang w:bidi="ar"/>
              </w:rPr>
              <w:t>28,613,860.71</w:t>
            </w:r>
          </w:p>
        </w:tc>
        <w:tc>
          <w:tcPr>
            <w:tcW w:w="2040" w:type="dxa"/>
            <w:tcBorders>
              <w:top w:val="nil"/>
              <w:left w:val="nil"/>
              <w:bottom w:val="single" w:color="auto" w:sz="4" w:space="0"/>
              <w:right w:val="single" w:color="auto" w:sz="4" w:space="0"/>
            </w:tcBorders>
            <w:noWrap/>
          </w:tcPr>
          <w:p w14:paraId="424EF46D">
            <w:pPr>
              <w:jc w:val="right"/>
              <w:rPr>
                <w:rFonts w:hint="eastAsia" w:ascii="宋体" w:hAnsi="宋体" w:cs="宋体"/>
                <w:color w:val="000000"/>
                <w:kern w:val="0"/>
                <w:szCs w:val="21"/>
              </w:rPr>
            </w:pPr>
            <w:r>
              <w:rPr>
                <w:kern w:val="0"/>
                <w:szCs w:val="21"/>
                <w:lang w:bidi="ar"/>
              </w:rPr>
              <w:t>30,304,018.74</w:t>
            </w:r>
          </w:p>
        </w:tc>
        <w:tc>
          <w:tcPr>
            <w:tcW w:w="1056" w:type="dxa"/>
            <w:tcBorders>
              <w:top w:val="nil"/>
              <w:left w:val="nil"/>
              <w:bottom w:val="single" w:color="auto" w:sz="4" w:space="0"/>
              <w:right w:val="single" w:color="auto" w:sz="4" w:space="0"/>
            </w:tcBorders>
            <w:noWrap/>
            <w:vAlign w:val="center"/>
          </w:tcPr>
          <w:p w14:paraId="6A03C80C">
            <w:pPr>
              <w:jc w:val="right"/>
              <w:rPr>
                <w:rFonts w:hint="eastAsia" w:ascii="宋体" w:hAnsi="宋体" w:cs="宋体"/>
                <w:color w:val="000000"/>
                <w:kern w:val="0"/>
                <w:szCs w:val="21"/>
              </w:rPr>
            </w:pPr>
            <w:r>
              <w:rPr>
                <w:color w:val="000000"/>
                <w:kern w:val="0"/>
                <w:szCs w:val="21"/>
                <w:lang w:bidi="ar"/>
              </w:rPr>
              <w:t>-5.58</w:t>
            </w:r>
          </w:p>
        </w:tc>
      </w:tr>
      <w:tr w14:paraId="26DE76A7">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5CB0606E">
            <w:pPr>
              <w:rPr>
                <w:rFonts w:hint="eastAsia" w:ascii="宋体" w:hAnsi="宋体" w:cs="宋体"/>
                <w:color w:val="000000"/>
                <w:kern w:val="0"/>
                <w:szCs w:val="21"/>
              </w:rPr>
            </w:pPr>
            <w:r>
              <w:rPr>
                <w:rFonts w:hint="eastAsia" w:cs="宋体"/>
                <w:kern w:val="0"/>
                <w:szCs w:val="21"/>
                <w:lang w:bidi="ar"/>
              </w:rPr>
              <w:t>一年内到期的非流动负债</w:t>
            </w:r>
          </w:p>
        </w:tc>
        <w:tc>
          <w:tcPr>
            <w:tcW w:w="2160" w:type="dxa"/>
            <w:tcBorders>
              <w:top w:val="nil"/>
              <w:left w:val="nil"/>
              <w:bottom w:val="single" w:color="auto" w:sz="4" w:space="0"/>
              <w:right w:val="single" w:color="auto" w:sz="4" w:space="0"/>
            </w:tcBorders>
            <w:noWrap/>
            <w:vAlign w:val="center"/>
          </w:tcPr>
          <w:p w14:paraId="75703DF7">
            <w:pPr>
              <w:jc w:val="right"/>
              <w:rPr>
                <w:rFonts w:hint="eastAsia" w:ascii="宋体" w:hAnsi="宋体" w:cs="宋体"/>
                <w:color w:val="000000"/>
                <w:kern w:val="0"/>
                <w:szCs w:val="21"/>
              </w:rPr>
            </w:pPr>
            <w:r>
              <w:rPr>
                <w:kern w:val="0"/>
                <w:szCs w:val="21"/>
                <w:lang w:bidi="ar"/>
              </w:rPr>
              <w:t>176,049,773.07</w:t>
            </w:r>
          </w:p>
        </w:tc>
        <w:tc>
          <w:tcPr>
            <w:tcW w:w="2040" w:type="dxa"/>
            <w:tcBorders>
              <w:top w:val="nil"/>
              <w:left w:val="nil"/>
              <w:bottom w:val="single" w:color="auto" w:sz="4" w:space="0"/>
              <w:right w:val="single" w:color="auto" w:sz="4" w:space="0"/>
            </w:tcBorders>
            <w:noWrap/>
          </w:tcPr>
          <w:p w14:paraId="6E061D0C">
            <w:pPr>
              <w:jc w:val="right"/>
              <w:rPr>
                <w:rFonts w:hint="eastAsia" w:ascii="宋体" w:hAnsi="宋体" w:cs="宋体"/>
                <w:color w:val="000000"/>
                <w:kern w:val="0"/>
                <w:szCs w:val="21"/>
              </w:rPr>
            </w:pPr>
            <w:r>
              <w:rPr>
                <w:kern w:val="0"/>
                <w:szCs w:val="21"/>
                <w:lang w:bidi="ar"/>
              </w:rPr>
              <w:t>190,519,971.81</w:t>
            </w:r>
          </w:p>
        </w:tc>
        <w:tc>
          <w:tcPr>
            <w:tcW w:w="1056" w:type="dxa"/>
            <w:tcBorders>
              <w:top w:val="nil"/>
              <w:left w:val="nil"/>
              <w:bottom w:val="single" w:color="auto" w:sz="4" w:space="0"/>
              <w:right w:val="single" w:color="auto" w:sz="4" w:space="0"/>
            </w:tcBorders>
            <w:noWrap/>
            <w:vAlign w:val="center"/>
          </w:tcPr>
          <w:p w14:paraId="7B9539FC">
            <w:pPr>
              <w:jc w:val="right"/>
              <w:rPr>
                <w:rFonts w:hint="eastAsia" w:ascii="宋体" w:hAnsi="宋体" w:cs="宋体"/>
                <w:color w:val="000000"/>
                <w:kern w:val="0"/>
                <w:szCs w:val="21"/>
              </w:rPr>
            </w:pPr>
            <w:r>
              <w:rPr>
                <w:color w:val="000000"/>
                <w:kern w:val="0"/>
                <w:szCs w:val="21"/>
                <w:lang w:bidi="ar"/>
              </w:rPr>
              <w:t>-7.60</w:t>
            </w:r>
          </w:p>
        </w:tc>
      </w:tr>
      <w:tr w14:paraId="27F044BF">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3F7AB31E">
            <w:pPr>
              <w:rPr>
                <w:rFonts w:hint="eastAsia" w:ascii="宋体" w:hAnsi="宋体" w:cs="宋体"/>
                <w:color w:val="000000"/>
                <w:kern w:val="0"/>
                <w:szCs w:val="21"/>
              </w:rPr>
            </w:pPr>
            <w:r>
              <w:rPr>
                <w:rFonts w:hint="eastAsia" w:cs="宋体"/>
                <w:kern w:val="0"/>
                <w:szCs w:val="21"/>
                <w:lang w:bidi="ar"/>
              </w:rPr>
              <w:t>其他流动负债</w:t>
            </w:r>
          </w:p>
        </w:tc>
        <w:tc>
          <w:tcPr>
            <w:tcW w:w="2160" w:type="dxa"/>
            <w:tcBorders>
              <w:top w:val="nil"/>
              <w:left w:val="nil"/>
              <w:bottom w:val="single" w:color="auto" w:sz="4" w:space="0"/>
              <w:right w:val="single" w:color="auto" w:sz="4" w:space="0"/>
            </w:tcBorders>
            <w:noWrap/>
            <w:vAlign w:val="center"/>
          </w:tcPr>
          <w:p w14:paraId="6136668E">
            <w:pPr>
              <w:jc w:val="right"/>
              <w:rPr>
                <w:rFonts w:hint="eastAsia" w:ascii="宋体" w:hAnsi="宋体" w:cs="宋体"/>
                <w:color w:val="000000"/>
                <w:kern w:val="0"/>
                <w:szCs w:val="21"/>
              </w:rPr>
            </w:pPr>
            <w:r>
              <w:rPr>
                <w:kern w:val="0"/>
                <w:szCs w:val="21"/>
                <w:lang w:bidi="ar"/>
              </w:rPr>
              <w:t>5,089,321.16</w:t>
            </w:r>
          </w:p>
        </w:tc>
        <w:tc>
          <w:tcPr>
            <w:tcW w:w="2040" w:type="dxa"/>
            <w:tcBorders>
              <w:top w:val="nil"/>
              <w:left w:val="nil"/>
              <w:bottom w:val="single" w:color="auto" w:sz="4" w:space="0"/>
              <w:right w:val="single" w:color="auto" w:sz="4" w:space="0"/>
            </w:tcBorders>
            <w:noWrap/>
          </w:tcPr>
          <w:p w14:paraId="7F093B8F">
            <w:pPr>
              <w:jc w:val="right"/>
              <w:rPr>
                <w:rFonts w:hint="eastAsia" w:ascii="宋体" w:hAnsi="宋体" w:cs="宋体"/>
                <w:color w:val="000000"/>
                <w:kern w:val="0"/>
                <w:szCs w:val="21"/>
              </w:rPr>
            </w:pPr>
            <w:r>
              <w:rPr>
                <w:kern w:val="0"/>
                <w:szCs w:val="21"/>
                <w:lang w:bidi="ar"/>
              </w:rPr>
              <w:t>36,257,722.53</w:t>
            </w:r>
          </w:p>
        </w:tc>
        <w:tc>
          <w:tcPr>
            <w:tcW w:w="1056" w:type="dxa"/>
            <w:tcBorders>
              <w:top w:val="nil"/>
              <w:left w:val="nil"/>
              <w:bottom w:val="single" w:color="auto" w:sz="4" w:space="0"/>
              <w:right w:val="single" w:color="auto" w:sz="4" w:space="0"/>
            </w:tcBorders>
            <w:noWrap/>
            <w:vAlign w:val="center"/>
          </w:tcPr>
          <w:p w14:paraId="203EE552">
            <w:pPr>
              <w:jc w:val="right"/>
              <w:rPr>
                <w:rFonts w:hint="eastAsia" w:ascii="宋体" w:hAnsi="宋体" w:cs="宋体"/>
                <w:color w:val="000000"/>
                <w:kern w:val="0"/>
                <w:szCs w:val="21"/>
              </w:rPr>
            </w:pPr>
            <w:r>
              <w:rPr>
                <w:color w:val="000000"/>
                <w:kern w:val="0"/>
                <w:szCs w:val="21"/>
                <w:lang w:bidi="ar"/>
              </w:rPr>
              <w:t>-85.96</w:t>
            </w:r>
          </w:p>
        </w:tc>
      </w:tr>
      <w:tr w14:paraId="46BF21F7">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478A1194">
            <w:pPr>
              <w:rPr>
                <w:rFonts w:hint="eastAsia" w:ascii="宋体" w:hAnsi="宋体" w:cs="宋体"/>
                <w:color w:val="000000"/>
                <w:kern w:val="0"/>
                <w:szCs w:val="21"/>
              </w:rPr>
            </w:pPr>
            <w:r>
              <w:rPr>
                <w:rFonts w:hint="eastAsia" w:cs="宋体"/>
                <w:kern w:val="0"/>
                <w:szCs w:val="21"/>
                <w:lang w:bidi="ar"/>
              </w:rPr>
              <w:t>长期借款</w:t>
            </w:r>
          </w:p>
        </w:tc>
        <w:tc>
          <w:tcPr>
            <w:tcW w:w="2160" w:type="dxa"/>
            <w:tcBorders>
              <w:top w:val="nil"/>
              <w:left w:val="nil"/>
              <w:bottom w:val="single" w:color="auto" w:sz="4" w:space="0"/>
              <w:right w:val="single" w:color="auto" w:sz="4" w:space="0"/>
            </w:tcBorders>
            <w:noWrap/>
            <w:vAlign w:val="center"/>
          </w:tcPr>
          <w:p w14:paraId="16D12B77">
            <w:pPr>
              <w:jc w:val="right"/>
              <w:rPr>
                <w:rFonts w:hint="eastAsia" w:ascii="宋体" w:hAnsi="宋体" w:cs="宋体"/>
                <w:color w:val="000000"/>
                <w:kern w:val="0"/>
                <w:szCs w:val="21"/>
              </w:rPr>
            </w:pPr>
            <w:r>
              <w:rPr>
                <w:kern w:val="0"/>
                <w:szCs w:val="21"/>
                <w:lang w:bidi="ar"/>
              </w:rPr>
              <w:t>302,848,366.82</w:t>
            </w:r>
          </w:p>
        </w:tc>
        <w:tc>
          <w:tcPr>
            <w:tcW w:w="2040" w:type="dxa"/>
            <w:tcBorders>
              <w:top w:val="nil"/>
              <w:left w:val="nil"/>
              <w:bottom w:val="single" w:color="auto" w:sz="4" w:space="0"/>
              <w:right w:val="single" w:color="auto" w:sz="4" w:space="0"/>
            </w:tcBorders>
            <w:noWrap/>
          </w:tcPr>
          <w:p w14:paraId="717D3FC1">
            <w:pPr>
              <w:jc w:val="right"/>
              <w:rPr>
                <w:rFonts w:hint="eastAsia" w:ascii="宋体" w:hAnsi="宋体" w:cs="宋体"/>
                <w:color w:val="000000"/>
                <w:kern w:val="0"/>
                <w:szCs w:val="21"/>
              </w:rPr>
            </w:pPr>
            <w:r>
              <w:rPr>
                <w:kern w:val="0"/>
                <w:szCs w:val="21"/>
                <w:lang w:bidi="ar"/>
              </w:rPr>
              <w:t>227,214,200.00</w:t>
            </w:r>
          </w:p>
        </w:tc>
        <w:tc>
          <w:tcPr>
            <w:tcW w:w="1056" w:type="dxa"/>
            <w:tcBorders>
              <w:top w:val="nil"/>
              <w:left w:val="nil"/>
              <w:bottom w:val="single" w:color="auto" w:sz="4" w:space="0"/>
              <w:right w:val="single" w:color="auto" w:sz="4" w:space="0"/>
            </w:tcBorders>
            <w:noWrap/>
            <w:vAlign w:val="center"/>
          </w:tcPr>
          <w:p w14:paraId="6D03D2E9">
            <w:pPr>
              <w:jc w:val="right"/>
              <w:rPr>
                <w:rFonts w:hint="eastAsia" w:ascii="宋体" w:hAnsi="宋体" w:cs="宋体"/>
                <w:color w:val="000000"/>
                <w:kern w:val="0"/>
                <w:szCs w:val="21"/>
              </w:rPr>
            </w:pPr>
            <w:r>
              <w:rPr>
                <w:color w:val="000000"/>
                <w:kern w:val="0"/>
                <w:szCs w:val="21"/>
                <w:lang w:bidi="ar"/>
              </w:rPr>
              <w:t>33.29</w:t>
            </w:r>
          </w:p>
        </w:tc>
      </w:tr>
      <w:tr w14:paraId="0DA438DA">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2D86DB2C">
            <w:pPr>
              <w:rPr>
                <w:rFonts w:hint="eastAsia" w:ascii="宋体" w:hAnsi="宋体" w:cs="宋体"/>
                <w:color w:val="000000"/>
                <w:kern w:val="0"/>
                <w:szCs w:val="21"/>
              </w:rPr>
            </w:pPr>
            <w:r>
              <w:rPr>
                <w:rFonts w:hint="eastAsia" w:cs="宋体"/>
                <w:kern w:val="0"/>
                <w:szCs w:val="21"/>
                <w:lang w:bidi="ar"/>
              </w:rPr>
              <w:t>应付债券</w:t>
            </w:r>
          </w:p>
        </w:tc>
        <w:tc>
          <w:tcPr>
            <w:tcW w:w="2160" w:type="dxa"/>
            <w:tcBorders>
              <w:top w:val="nil"/>
              <w:left w:val="nil"/>
              <w:bottom w:val="single" w:color="auto" w:sz="4" w:space="0"/>
              <w:right w:val="single" w:color="auto" w:sz="4" w:space="0"/>
            </w:tcBorders>
            <w:noWrap/>
            <w:vAlign w:val="center"/>
          </w:tcPr>
          <w:p w14:paraId="2992E3AE">
            <w:pPr>
              <w:jc w:val="right"/>
              <w:rPr>
                <w:rFonts w:hint="eastAsia" w:ascii="宋体" w:hAnsi="宋体" w:cs="宋体"/>
                <w:color w:val="000000"/>
                <w:kern w:val="0"/>
                <w:szCs w:val="21"/>
              </w:rPr>
            </w:pPr>
          </w:p>
        </w:tc>
        <w:tc>
          <w:tcPr>
            <w:tcW w:w="2040" w:type="dxa"/>
            <w:tcBorders>
              <w:top w:val="nil"/>
              <w:left w:val="nil"/>
              <w:bottom w:val="single" w:color="auto" w:sz="4" w:space="0"/>
              <w:right w:val="single" w:color="auto" w:sz="4" w:space="0"/>
            </w:tcBorders>
            <w:noWrap/>
          </w:tcPr>
          <w:p w14:paraId="033542A3">
            <w:pPr>
              <w:jc w:val="right"/>
              <w:rPr>
                <w:rFonts w:hint="eastAsia" w:ascii="宋体" w:hAnsi="宋体" w:cs="宋体"/>
                <w:color w:val="000000"/>
                <w:kern w:val="0"/>
                <w:szCs w:val="21"/>
              </w:rPr>
            </w:pPr>
          </w:p>
        </w:tc>
        <w:tc>
          <w:tcPr>
            <w:tcW w:w="1056" w:type="dxa"/>
            <w:tcBorders>
              <w:top w:val="nil"/>
              <w:left w:val="nil"/>
              <w:bottom w:val="single" w:color="auto" w:sz="4" w:space="0"/>
              <w:right w:val="single" w:color="auto" w:sz="4" w:space="0"/>
            </w:tcBorders>
            <w:noWrap/>
            <w:vAlign w:val="center"/>
          </w:tcPr>
          <w:p w14:paraId="2D4A1213">
            <w:pPr>
              <w:jc w:val="right"/>
              <w:rPr>
                <w:rFonts w:hint="eastAsia" w:ascii="宋体" w:hAnsi="宋体" w:cs="宋体"/>
                <w:color w:val="000000"/>
                <w:kern w:val="0"/>
                <w:szCs w:val="21"/>
              </w:rPr>
            </w:pPr>
          </w:p>
        </w:tc>
      </w:tr>
      <w:tr w14:paraId="604747FE">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7025B46C">
            <w:pPr>
              <w:rPr>
                <w:rFonts w:hint="eastAsia" w:ascii="宋体" w:hAnsi="宋体" w:cs="宋体"/>
                <w:color w:val="000000"/>
                <w:kern w:val="0"/>
                <w:szCs w:val="21"/>
              </w:rPr>
            </w:pPr>
            <w:r>
              <w:rPr>
                <w:rFonts w:hint="eastAsia" w:cs="宋体"/>
                <w:kern w:val="0"/>
                <w:szCs w:val="21"/>
                <w:lang w:bidi="ar"/>
              </w:rPr>
              <w:t>租赁负债</w:t>
            </w:r>
          </w:p>
        </w:tc>
        <w:tc>
          <w:tcPr>
            <w:tcW w:w="2160" w:type="dxa"/>
            <w:tcBorders>
              <w:top w:val="nil"/>
              <w:left w:val="nil"/>
              <w:bottom w:val="single" w:color="auto" w:sz="4" w:space="0"/>
              <w:right w:val="single" w:color="auto" w:sz="4" w:space="0"/>
            </w:tcBorders>
            <w:noWrap/>
            <w:vAlign w:val="center"/>
          </w:tcPr>
          <w:p w14:paraId="71877A09">
            <w:pPr>
              <w:jc w:val="right"/>
              <w:rPr>
                <w:rFonts w:hint="eastAsia" w:ascii="宋体" w:hAnsi="宋体" w:cs="宋体"/>
                <w:color w:val="000000"/>
                <w:kern w:val="0"/>
                <w:szCs w:val="21"/>
              </w:rPr>
            </w:pPr>
            <w:r>
              <w:rPr>
                <w:kern w:val="0"/>
                <w:szCs w:val="21"/>
                <w:lang w:bidi="ar"/>
              </w:rPr>
              <w:t>2,114,700.16</w:t>
            </w:r>
          </w:p>
        </w:tc>
        <w:tc>
          <w:tcPr>
            <w:tcW w:w="2040" w:type="dxa"/>
            <w:tcBorders>
              <w:top w:val="nil"/>
              <w:left w:val="nil"/>
              <w:bottom w:val="single" w:color="auto" w:sz="4" w:space="0"/>
              <w:right w:val="single" w:color="auto" w:sz="4" w:space="0"/>
            </w:tcBorders>
            <w:noWrap/>
          </w:tcPr>
          <w:p w14:paraId="75618D33">
            <w:pPr>
              <w:jc w:val="right"/>
              <w:rPr>
                <w:rFonts w:hint="eastAsia" w:ascii="宋体" w:hAnsi="宋体" w:cs="宋体"/>
                <w:color w:val="000000"/>
                <w:kern w:val="0"/>
                <w:szCs w:val="21"/>
              </w:rPr>
            </w:pPr>
          </w:p>
        </w:tc>
        <w:tc>
          <w:tcPr>
            <w:tcW w:w="1056" w:type="dxa"/>
            <w:tcBorders>
              <w:top w:val="nil"/>
              <w:left w:val="nil"/>
              <w:bottom w:val="single" w:color="auto" w:sz="4" w:space="0"/>
              <w:right w:val="single" w:color="auto" w:sz="4" w:space="0"/>
            </w:tcBorders>
            <w:noWrap/>
            <w:vAlign w:val="center"/>
          </w:tcPr>
          <w:p w14:paraId="3A72C6F4">
            <w:pPr>
              <w:jc w:val="right"/>
              <w:rPr>
                <w:rFonts w:hint="eastAsia" w:ascii="宋体" w:hAnsi="宋体" w:cs="宋体"/>
                <w:color w:val="000000"/>
                <w:kern w:val="0"/>
                <w:szCs w:val="21"/>
              </w:rPr>
            </w:pPr>
          </w:p>
        </w:tc>
      </w:tr>
      <w:tr w14:paraId="0B1BB376">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29A1D4CF">
            <w:pPr>
              <w:rPr>
                <w:rFonts w:hint="eastAsia" w:ascii="宋体" w:hAnsi="宋体" w:cs="宋体"/>
                <w:color w:val="000000"/>
                <w:kern w:val="0"/>
                <w:szCs w:val="21"/>
              </w:rPr>
            </w:pPr>
            <w:r>
              <w:rPr>
                <w:rFonts w:hint="eastAsia" w:cs="宋体"/>
                <w:kern w:val="0"/>
                <w:szCs w:val="21"/>
                <w:lang w:bidi="ar"/>
              </w:rPr>
              <w:t>长期应付款</w:t>
            </w:r>
          </w:p>
        </w:tc>
        <w:tc>
          <w:tcPr>
            <w:tcW w:w="2160" w:type="dxa"/>
            <w:tcBorders>
              <w:top w:val="nil"/>
              <w:left w:val="nil"/>
              <w:bottom w:val="single" w:color="auto" w:sz="4" w:space="0"/>
              <w:right w:val="single" w:color="auto" w:sz="4" w:space="0"/>
            </w:tcBorders>
            <w:noWrap/>
            <w:vAlign w:val="center"/>
          </w:tcPr>
          <w:p w14:paraId="406DD481">
            <w:pPr>
              <w:jc w:val="right"/>
              <w:rPr>
                <w:rFonts w:hint="eastAsia" w:ascii="宋体" w:hAnsi="宋体" w:cs="宋体"/>
                <w:color w:val="000000"/>
                <w:kern w:val="0"/>
                <w:szCs w:val="21"/>
              </w:rPr>
            </w:pPr>
            <w:r>
              <w:rPr>
                <w:kern w:val="0"/>
                <w:szCs w:val="21"/>
                <w:lang w:bidi="ar"/>
              </w:rPr>
              <w:t>21,462,317.06</w:t>
            </w:r>
          </w:p>
        </w:tc>
        <w:tc>
          <w:tcPr>
            <w:tcW w:w="2040" w:type="dxa"/>
            <w:tcBorders>
              <w:top w:val="nil"/>
              <w:left w:val="nil"/>
              <w:bottom w:val="single" w:color="auto" w:sz="4" w:space="0"/>
              <w:right w:val="single" w:color="auto" w:sz="4" w:space="0"/>
            </w:tcBorders>
            <w:noWrap/>
          </w:tcPr>
          <w:p w14:paraId="507E2165">
            <w:pPr>
              <w:jc w:val="right"/>
              <w:rPr>
                <w:rFonts w:hint="eastAsia" w:ascii="宋体" w:hAnsi="宋体" w:cs="宋体"/>
                <w:color w:val="000000"/>
                <w:kern w:val="0"/>
                <w:szCs w:val="21"/>
              </w:rPr>
            </w:pPr>
            <w:r>
              <w:rPr>
                <w:kern w:val="0"/>
                <w:szCs w:val="21"/>
                <w:lang w:bidi="ar"/>
              </w:rPr>
              <w:t>79,404,708.86</w:t>
            </w:r>
          </w:p>
        </w:tc>
        <w:tc>
          <w:tcPr>
            <w:tcW w:w="1056" w:type="dxa"/>
            <w:tcBorders>
              <w:top w:val="nil"/>
              <w:left w:val="nil"/>
              <w:bottom w:val="single" w:color="auto" w:sz="4" w:space="0"/>
              <w:right w:val="single" w:color="auto" w:sz="4" w:space="0"/>
            </w:tcBorders>
            <w:noWrap/>
            <w:vAlign w:val="center"/>
          </w:tcPr>
          <w:p w14:paraId="11D3F2F1">
            <w:pPr>
              <w:jc w:val="right"/>
              <w:rPr>
                <w:rFonts w:hint="eastAsia" w:ascii="宋体" w:hAnsi="宋体" w:cs="宋体"/>
                <w:color w:val="000000"/>
                <w:kern w:val="0"/>
                <w:szCs w:val="21"/>
              </w:rPr>
            </w:pPr>
            <w:r>
              <w:rPr>
                <w:color w:val="000000"/>
                <w:kern w:val="0"/>
                <w:szCs w:val="21"/>
                <w:lang w:bidi="ar"/>
              </w:rPr>
              <w:t>-72.97</w:t>
            </w:r>
          </w:p>
        </w:tc>
      </w:tr>
      <w:tr w14:paraId="58CAD8EF">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40C07A47">
            <w:pPr>
              <w:rPr>
                <w:rFonts w:hint="eastAsia" w:ascii="宋体" w:hAnsi="宋体" w:cs="宋体"/>
                <w:color w:val="000000"/>
                <w:kern w:val="0"/>
                <w:szCs w:val="21"/>
              </w:rPr>
            </w:pPr>
            <w:r>
              <w:rPr>
                <w:rFonts w:hint="eastAsia" w:cs="宋体"/>
                <w:kern w:val="0"/>
                <w:szCs w:val="21"/>
                <w:lang w:bidi="ar"/>
              </w:rPr>
              <w:t>递延收益</w:t>
            </w:r>
          </w:p>
        </w:tc>
        <w:tc>
          <w:tcPr>
            <w:tcW w:w="2160" w:type="dxa"/>
            <w:tcBorders>
              <w:top w:val="nil"/>
              <w:left w:val="nil"/>
              <w:bottom w:val="single" w:color="auto" w:sz="4" w:space="0"/>
              <w:right w:val="single" w:color="auto" w:sz="4" w:space="0"/>
            </w:tcBorders>
            <w:noWrap/>
            <w:vAlign w:val="center"/>
          </w:tcPr>
          <w:p w14:paraId="331FC96A">
            <w:pPr>
              <w:jc w:val="right"/>
              <w:rPr>
                <w:rFonts w:hint="eastAsia" w:ascii="宋体" w:hAnsi="宋体" w:cs="宋体"/>
                <w:color w:val="000000"/>
                <w:kern w:val="0"/>
                <w:szCs w:val="21"/>
              </w:rPr>
            </w:pPr>
            <w:r>
              <w:rPr>
                <w:kern w:val="0"/>
                <w:szCs w:val="21"/>
                <w:lang w:bidi="ar"/>
              </w:rPr>
              <w:t>94,135,366.21</w:t>
            </w:r>
          </w:p>
        </w:tc>
        <w:tc>
          <w:tcPr>
            <w:tcW w:w="2040" w:type="dxa"/>
            <w:tcBorders>
              <w:top w:val="nil"/>
              <w:left w:val="nil"/>
              <w:bottom w:val="single" w:color="auto" w:sz="4" w:space="0"/>
              <w:right w:val="single" w:color="auto" w:sz="4" w:space="0"/>
            </w:tcBorders>
            <w:noWrap/>
          </w:tcPr>
          <w:p w14:paraId="657EB641">
            <w:pPr>
              <w:jc w:val="right"/>
              <w:rPr>
                <w:rFonts w:hint="eastAsia" w:ascii="宋体" w:hAnsi="宋体" w:cs="宋体"/>
                <w:color w:val="000000"/>
                <w:kern w:val="0"/>
                <w:szCs w:val="21"/>
              </w:rPr>
            </w:pPr>
            <w:r>
              <w:rPr>
                <w:kern w:val="0"/>
                <w:szCs w:val="21"/>
                <w:lang w:bidi="ar"/>
              </w:rPr>
              <w:t>107,940,958.58</w:t>
            </w:r>
          </w:p>
        </w:tc>
        <w:tc>
          <w:tcPr>
            <w:tcW w:w="1056" w:type="dxa"/>
            <w:tcBorders>
              <w:top w:val="nil"/>
              <w:left w:val="nil"/>
              <w:bottom w:val="single" w:color="auto" w:sz="4" w:space="0"/>
              <w:right w:val="single" w:color="auto" w:sz="4" w:space="0"/>
            </w:tcBorders>
            <w:noWrap/>
            <w:vAlign w:val="center"/>
          </w:tcPr>
          <w:p w14:paraId="4922D825">
            <w:pPr>
              <w:jc w:val="right"/>
              <w:rPr>
                <w:rFonts w:hint="eastAsia" w:ascii="宋体" w:hAnsi="宋体" w:cs="宋体"/>
                <w:color w:val="000000"/>
                <w:kern w:val="0"/>
                <w:szCs w:val="21"/>
              </w:rPr>
            </w:pPr>
            <w:r>
              <w:rPr>
                <w:color w:val="000000"/>
                <w:kern w:val="0"/>
                <w:szCs w:val="21"/>
                <w:lang w:bidi="ar"/>
              </w:rPr>
              <w:t>-12.79</w:t>
            </w:r>
          </w:p>
        </w:tc>
      </w:tr>
      <w:tr w14:paraId="41B6F1FA">
        <w:tblPrEx>
          <w:tblCellMar>
            <w:top w:w="0" w:type="dxa"/>
            <w:left w:w="108" w:type="dxa"/>
            <w:bottom w:w="0" w:type="dxa"/>
            <w:right w:w="108" w:type="dxa"/>
          </w:tblCellMar>
        </w:tblPrEx>
        <w:trPr>
          <w:trHeight w:val="360" w:hRule="atLeast"/>
          <w:jc w:val="center"/>
        </w:trPr>
        <w:tc>
          <w:tcPr>
            <w:tcW w:w="3082" w:type="dxa"/>
            <w:tcBorders>
              <w:top w:val="nil"/>
              <w:left w:val="single" w:color="auto" w:sz="4" w:space="0"/>
              <w:bottom w:val="single" w:color="auto" w:sz="4" w:space="0"/>
              <w:right w:val="single" w:color="auto" w:sz="4" w:space="0"/>
            </w:tcBorders>
          </w:tcPr>
          <w:p w14:paraId="78F12C53">
            <w:pPr>
              <w:rPr>
                <w:rFonts w:hint="eastAsia" w:ascii="宋体" w:hAnsi="宋体" w:cs="宋体"/>
                <w:color w:val="000000"/>
                <w:kern w:val="0"/>
                <w:szCs w:val="21"/>
              </w:rPr>
            </w:pPr>
            <w:r>
              <w:rPr>
                <w:rFonts w:hint="eastAsia" w:cs="宋体"/>
                <w:kern w:val="0"/>
                <w:szCs w:val="21"/>
                <w:lang w:bidi="ar"/>
              </w:rPr>
              <w:t>递延所得税负债</w:t>
            </w:r>
          </w:p>
        </w:tc>
        <w:tc>
          <w:tcPr>
            <w:tcW w:w="2160" w:type="dxa"/>
            <w:tcBorders>
              <w:top w:val="nil"/>
              <w:left w:val="nil"/>
              <w:bottom w:val="single" w:color="auto" w:sz="4" w:space="0"/>
              <w:right w:val="single" w:color="auto" w:sz="4" w:space="0"/>
            </w:tcBorders>
            <w:noWrap/>
            <w:vAlign w:val="center"/>
          </w:tcPr>
          <w:p w14:paraId="573E74BF">
            <w:pPr>
              <w:jc w:val="right"/>
              <w:rPr>
                <w:rFonts w:hint="eastAsia" w:ascii="宋体" w:hAnsi="宋体" w:cs="宋体"/>
                <w:color w:val="000000"/>
                <w:kern w:val="0"/>
                <w:szCs w:val="21"/>
              </w:rPr>
            </w:pPr>
            <w:r>
              <w:rPr>
                <w:kern w:val="0"/>
                <w:szCs w:val="21"/>
                <w:lang w:bidi="ar"/>
              </w:rPr>
              <w:t>30,926,367.18</w:t>
            </w:r>
          </w:p>
        </w:tc>
        <w:tc>
          <w:tcPr>
            <w:tcW w:w="2040" w:type="dxa"/>
            <w:tcBorders>
              <w:top w:val="nil"/>
              <w:left w:val="nil"/>
              <w:bottom w:val="single" w:color="auto" w:sz="4" w:space="0"/>
              <w:right w:val="single" w:color="auto" w:sz="4" w:space="0"/>
            </w:tcBorders>
            <w:noWrap/>
          </w:tcPr>
          <w:p w14:paraId="1211A253">
            <w:pPr>
              <w:jc w:val="right"/>
              <w:rPr>
                <w:rFonts w:hint="eastAsia" w:ascii="宋体" w:hAnsi="宋体" w:cs="宋体"/>
                <w:color w:val="000000"/>
                <w:kern w:val="0"/>
                <w:szCs w:val="21"/>
              </w:rPr>
            </w:pPr>
            <w:r>
              <w:rPr>
                <w:kern w:val="0"/>
                <w:szCs w:val="21"/>
                <w:lang w:bidi="ar"/>
              </w:rPr>
              <w:t>32,577,281.38</w:t>
            </w:r>
          </w:p>
        </w:tc>
        <w:tc>
          <w:tcPr>
            <w:tcW w:w="1056" w:type="dxa"/>
            <w:tcBorders>
              <w:top w:val="nil"/>
              <w:left w:val="nil"/>
              <w:bottom w:val="single" w:color="auto" w:sz="4" w:space="0"/>
              <w:right w:val="single" w:color="auto" w:sz="4" w:space="0"/>
            </w:tcBorders>
            <w:noWrap/>
            <w:vAlign w:val="center"/>
          </w:tcPr>
          <w:p w14:paraId="498D02F3">
            <w:pPr>
              <w:jc w:val="right"/>
              <w:rPr>
                <w:rFonts w:hint="eastAsia" w:ascii="宋体" w:hAnsi="宋体" w:cs="宋体"/>
                <w:color w:val="000000"/>
                <w:kern w:val="0"/>
                <w:szCs w:val="21"/>
              </w:rPr>
            </w:pPr>
            <w:r>
              <w:rPr>
                <w:color w:val="000000"/>
                <w:kern w:val="0"/>
                <w:szCs w:val="21"/>
                <w:lang w:bidi="ar"/>
              </w:rPr>
              <w:t>-5.07</w:t>
            </w:r>
          </w:p>
        </w:tc>
      </w:tr>
      <w:tr w14:paraId="1C16A7AE">
        <w:tblPrEx>
          <w:tblCellMar>
            <w:top w:w="0" w:type="dxa"/>
            <w:left w:w="108" w:type="dxa"/>
            <w:bottom w:w="0" w:type="dxa"/>
            <w:right w:w="108" w:type="dxa"/>
          </w:tblCellMar>
        </w:tblPrEx>
        <w:trPr>
          <w:trHeight w:val="405" w:hRule="atLeast"/>
          <w:jc w:val="center"/>
        </w:trPr>
        <w:tc>
          <w:tcPr>
            <w:tcW w:w="3082" w:type="dxa"/>
            <w:tcBorders>
              <w:top w:val="nil"/>
              <w:left w:val="single" w:color="auto" w:sz="4" w:space="0"/>
              <w:bottom w:val="single" w:color="auto" w:sz="4" w:space="0"/>
              <w:right w:val="single" w:color="auto" w:sz="4" w:space="0"/>
            </w:tcBorders>
            <w:noWrap/>
            <w:vAlign w:val="center"/>
          </w:tcPr>
          <w:p w14:paraId="226DEB86">
            <w:pPr>
              <w:rPr>
                <w:rFonts w:cs="宋体"/>
                <w:kern w:val="0"/>
                <w:szCs w:val="21"/>
                <w:lang w:bidi="ar"/>
              </w:rPr>
            </w:pPr>
            <w:r>
              <w:rPr>
                <w:kern w:val="0"/>
                <w:lang w:bidi="ar"/>
              </w:rPr>
              <w:t>股本</w:t>
            </w:r>
          </w:p>
        </w:tc>
        <w:tc>
          <w:tcPr>
            <w:tcW w:w="2160" w:type="dxa"/>
            <w:tcBorders>
              <w:top w:val="nil"/>
              <w:left w:val="nil"/>
              <w:bottom w:val="single" w:color="auto" w:sz="4" w:space="0"/>
              <w:right w:val="single" w:color="auto" w:sz="4" w:space="0"/>
            </w:tcBorders>
            <w:noWrap/>
            <w:vAlign w:val="center"/>
          </w:tcPr>
          <w:p w14:paraId="6DF13623">
            <w:pPr>
              <w:widowControl/>
              <w:jc w:val="right"/>
              <w:textAlignment w:val="center"/>
              <w:rPr>
                <w:color w:val="000000"/>
                <w:kern w:val="0"/>
                <w:szCs w:val="21"/>
              </w:rPr>
            </w:pPr>
            <w:r>
              <w:rPr>
                <w:color w:val="000000"/>
                <w:kern w:val="0"/>
                <w:szCs w:val="21"/>
                <w:lang w:bidi="ar"/>
              </w:rPr>
              <w:t>1,460,994,304.00</w:t>
            </w:r>
          </w:p>
        </w:tc>
        <w:tc>
          <w:tcPr>
            <w:tcW w:w="2040" w:type="dxa"/>
            <w:tcBorders>
              <w:top w:val="nil"/>
              <w:left w:val="nil"/>
              <w:bottom w:val="single" w:color="auto" w:sz="4" w:space="0"/>
              <w:right w:val="single" w:color="auto" w:sz="4" w:space="0"/>
            </w:tcBorders>
            <w:noWrap/>
            <w:vAlign w:val="center"/>
          </w:tcPr>
          <w:p w14:paraId="59B6E156">
            <w:pPr>
              <w:widowControl/>
              <w:jc w:val="right"/>
              <w:textAlignment w:val="center"/>
              <w:rPr>
                <w:color w:val="000000"/>
                <w:kern w:val="0"/>
                <w:szCs w:val="21"/>
              </w:rPr>
            </w:pPr>
            <w:r>
              <w:rPr>
                <w:color w:val="000000"/>
                <w:kern w:val="0"/>
                <w:szCs w:val="21"/>
                <w:lang w:bidi="ar"/>
              </w:rPr>
              <w:t>1,460,994,304.00</w:t>
            </w:r>
          </w:p>
        </w:tc>
        <w:tc>
          <w:tcPr>
            <w:tcW w:w="1056" w:type="dxa"/>
            <w:tcBorders>
              <w:top w:val="nil"/>
              <w:left w:val="nil"/>
              <w:bottom w:val="single" w:color="auto" w:sz="4" w:space="0"/>
              <w:right w:val="single" w:color="auto" w:sz="4" w:space="0"/>
            </w:tcBorders>
            <w:noWrap/>
            <w:vAlign w:val="center"/>
          </w:tcPr>
          <w:p w14:paraId="57EF8D90">
            <w:pPr>
              <w:widowControl/>
              <w:jc w:val="right"/>
              <w:textAlignment w:val="center"/>
              <w:rPr>
                <w:color w:val="000000"/>
                <w:kern w:val="0"/>
                <w:szCs w:val="21"/>
              </w:rPr>
            </w:pPr>
            <w:r>
              <w:rPr>
                <w:color w:val="000000"/>
                <w:kern w:val="0"/>
                <w:szCs w:val="21"/>
                <w:lang w:bidi="ar"/>
              </w:rPr>
              <w:t>0</w:t>
            </w:r>
          </w:p>
        </w:tc>
      </w:tr>
      <w:tr w14:paraId="7F632C74">
        <w:tblPrEx>
          <w:tblCellMar>
            <w:top w:w="0" w:type="dxa"/>
            <w:left w:w="108" w:type="dxa"/>
            <w:bottom w:w="0" w:type="dxa"/>
            <w:right w:w="108" w:type="dxa"/>
          </w:tblCellMar>
        </w:tblPrEx>
        <w:trPr>
          <w:trHeight w:val="420" w:hRule="atLeast"/>
          <w:jc w:val="center"/>
        </w:trPr>
        <w:tc>
          <w:tcPr>
            <w:tcW w:w="3082" w:type="dxa"/>
            <w:tcBorders>
              <w:top w:val="nil"/>
              <w:left w:val="single" w:color="auto" w:sz="4" w:space="0"/>
              <w:bottom w:val="single" w:color="auto" w:sz="4" w:space="0"/>
              <w:right w:val="single" w:color="auto" w:sz="4" w:space="0"/>
            </w:tcBorders>
            <w:noWrap/>
            <w:vAlign w:val="center"/>
          </w:tcPr>
          <w:p w14:paraId="2C2B73F0">
            <w:pPr>
              <w:rPr>
                <w:rFonts w:cs="宋体"/>
                <w:kern w:val="0"/>
                <w:szCs w:val="21"/>
                <w:lang w:bidi="ar"/>
              </w:rPr>
            </w:pPr>
            <w:r>
              <w:rPr>
                <w:kern w:val="0"/>
                <w:lang w:bidi="ar"/>
              </w:rPr>
              <w:t>资本公积</w:t>
            </w:r>
          </w:p>
        </w:tc>
        <w:tc>
          <w:tcPr>
            <w:tcW w:w="2160" w:type="dxa"/>
            <w:tcBorders>
              <w:top w:val="nil"/>
              <w:left w:val="nil"/>
              <w:bottom w:val="single" w:color="auto" w:sz="4" w:space="0"/>
              <w:right w:val="single" w:color="auto" w:sz="4" w:space="0"/>
            </w:tcBorders>
            <w:noWrap/>
            <w:vAlign w:val="center"/>
          </w:tcPr>
          <w:p w14:paraId="1A0B7ABB">
            <w:pPr>
              <w:widowControl/>
              <w:jc w:val="right"/>
              <w:textAlignment w:val="center"/>
              <w:rPr>
                <w:color w:val="000000"/>
                <w:kern w:val="0"/>
                <w:szCs w:val="21"/>
              </w:rPr>
            </w:pPr>
            <w:r>
              <w:rPr>
                <w:color w:val="000000"/>
                <w:kern w:val="0"/>
                <w:szCs w:val="21"/>
                <w:lang w:bidi="ar"/>
              </w:rPr>
              <w:t>394,938,785.79</w:t>
            </w:r>
          </w:p>
        </w:tc>
        <w:tc>
          <w:tcPr>
            <w:tcW w:w="2040" w:type="dxa"/>
            <w:tcBorders>
              <w:top w:val="nil"/>
              <w:left w:val="nil"/>
              <w:bottom w:val="single" w:color="auto" w:sz="4" w:space="0"/>
              <w:right w:val="single" w:color="auto" w:sz="4" w:space="0"/>
            </w:tcBorders>
            <w:noWrap/>
            <w:vAlign w:val="center"/>
          </w:tcPr>
          <w:p w14:paraId="457028C8">
            <w:pPr>
              <w:widowControl/>
              <w:jc w:val="right"/>
              <w:textAlignment w:val="center"/>
              <w:rPr>
                <w:color w:val="000000"/>
                <w:kern w:val="0"/>
                <w:szCs w:val="21"/>
              </w:rPr>
            </w:pPr>
            <w:r>
              <w:rPr>
                <w:color w:val="000000"/>
                <w:kern w:val="0"/>
                <w:szCs w:val="21"/>
                <w:lang w:bidi="ar"/>
              </w:rPr>
              <w:t>394,938,785.79</w:t>
            </w:r>
          </w:p>
        </w:tc>
        <w:tc>
          <w:tcPr>
            <w:tcW w:w="1056" w:type="dxa"/>
            <w:tcBorders>
              <w:top w:val="nil"/>
              <w:left w:val="nil"/>
              <w:bottom w:val="single" w:color="auto" w:sz="4" w:space="0"/>
              <w:right w:val="single" w:color="auto" w:sz="4" w:space="0"/>
            </w:tcBorders>
            <w:noWrap/>
            <w:vAlign w:val="center"/>
          </w:tcPr>
          <w:p w14:paraId="7AD95A1E">
            <w:pPr>
              <w:widowControl/>
              <w:jc w:val="right"/>
              <w:textAlignment w:val="center"/>
              <w:rPr>
                <w:color w:val="000000"/>
                <w:kern w:val="0"/>
                <w:szCs w:val="21"/>
              </w:rPr>
            </w:pPr>
            <w:r>
              <w:rPr>
                <w:color w:val="000000"/>
                <w:kern w:val="0"/>
                <w:szCs w:val="21"/>
                <w:lang w:bidi="ar"/>
              </w:rPr>
              <w:t>0</w:t>
            </w:r>
          </w:p>
        </w:tc>
      </w:tr>
      <w:tr w14:paraId="1F147573">
        <w:tblPrEx>
          <w:tblCellMar>
            <w:top w:w="0" w:type="dxa"/>
            <w:left w:w="108" w:type="dxa"/>
            <w:bottom w:w="0" w:type="dxa"/>
            <w:right w:w="108" w:type="dxa"/>
          </w:tblCellMar>
        </w:tblPrEx>
        <w:trPr>
          <w:trHeight w:val="420" w:hRule="atLeast"/>
          <w:jc w:val="center"/>
        </w:trPr>
        <w:tc>
          <w:tcPr>
            <w:tcW w:w="3082" w:type="dxa"/>
            <w:tcBorders>
              <w:top w:val="nil"/>
              <w:left w:val="single" w:color="auto" w:sz="4" w:space="0"/>
              <w:bottom w:val="single" w:color="auto" w:sz="4" w:space="0"/>
              <w:right w:val="single" w:color="auto" w:sz="4" w:space="0"/>
            </w:tcBorders>
            <w:noWrap/>
            <w:vAlign w:val="center"/>
          </w:tcPr>
          <w:p w14:paraId="1AAD4C37">
            <w:pPr>
              <w:rPr>
                <w:rFonts w:cs="宋体"/>
                <w:kern w:val="0"/>
                <w:szCs w:val="21"/>
                <w:lang w:bidi="ar"/>
              </w:rPr>
            </w:pPr>
            <w:r>
              <w:rPr>
                <w:rFonts w:hint="eastAsia" w:cs="宋体"/>
                <w:kern w:val="0"/>
                <w:szCs w:val="21"/>
                <w:lang w:bidi="ar"/>
              </w:rPr>
              <w:t>其他综合收益</w:t>
            </w:r>
          </w:p>
        </w:tc>
        <w:tc>
          <w:tcPr>
            <w:tcW w:w="2160" w:type="dxa"/>
            <w:tcBorders>
              <w:top w:val="nil"/>
              <w:left w:val="nil"/>
              <w:bottom w:val="single" w:color="auto" w:sz="4" w:space="0"/>
              <w:right w:val="single" w:color="auto" w:sz="4" w:space="0"/>
            </w:tcBorders>
            <w:noWrap/>
            <w:vAlign w:val="center"/>
          </w:tcPr>
          <w:p w14:paraId="05518704">
            <w:pPr>
              <w:widowControl/>
              <w:jc w:val="right"/>
              <w:textAlignment w:val="center"/>
              <w:rPr>
                <w:color w:val="000000"/>
                <w:kern w:val="0"/>
                <w:szCs w:val="21"/>
              </w:rPr>
            </w:pPr>
            <w:r>
              <w:rPr>
                <w:color w:val="000000"/>
                <w:kern w:val="0"/>
                <w:szCs w:val="21"/>
                <w:lang w:bidi="ar"/>
              </w:rPr>
              <w:t>92,779,101.53</w:t>
            </w:r>
          </w:p>
        </w:tc>
        <w:tc>
          <w:tcPr>
            <w:tcW w:w="2040" w:type="dxa"/>
            <w:tcBorders>
              <w:top w:val="nil"/>
              <w:left w:val="nil"/>
              <w:bottom w:val="single" w:color="auto" w:sz="4" w:space="0"/>
              <w:right w:val="single" w:color="auto" w:sz="4" w:space="0"/>
            </w:tcBorders>
            <w:noWrap/>
            <w:vAlign w:val="center"/>
          </w:tcPr>
          <w:p w14:paraId="23B55E4D">
            <w:pPr>
              <w:widowControl/>
              <w:jc w:val="right"/>
              <w:textAlignment w:val="center"/>
              <w:rPr>
                <w:color w:val="000000"/>
                <w:kern w:val="0"/>
                <w:szCs w:val="21"/>
              </w:rPr>
            </w:pPr>
            <w:r>
              <w:rPr>
                <w:color w:val="000000"/>
                <w:kern w:val="0"/>
                <w:szCs w:val="21"/>
                <w:lang w:bidi="ar"/>
              </w:rPr>
              <w:t>97,731,844.14</w:t>
            </w:r>
          </w:p>
        </w:tc>
        <w:tc>
          <w:tcPr>
            <w:tcW w:w="1056" w:type="dxa"/>
            <w:tcBorders>
              <w:top w:val="nil"/>
              <w:left w:val="nil"/>
              <w:bottom w:val="single" w:color="auto" w:sz="4" w:space="0"/>
              <w:right w:val="single" w:color="auto" w:sz="4" w:space="0"/>
            </w:tcBorders>
            <w:noWrap/>
            <w:vAlign w:val="center"/>
          </w:tcPr>
          <w:p w14:paraId="7FEF6C23">
            <w:pPr>
              <w:widowControl/>
              <w:jc w:val="right"/>
              <w:textAlignment w:val="center"/>
              <w:rPr>
                <w:color w:val="000000"/>
                <w:kern w:val="0"/>
                <w:szCs w:val="21"/>
              </w:rPr>
            </w:pPr>
            <w:r>
              <w:rPr>
                <w:color w:val="000000"/>
                <w:kern w:val="0"/>
                <w:sz w:val="24"/>
                <w:lang w:bidi="ar"/>
              </w:rPr>
              <w:t>-5.07</w:t>
            </w:r>
          </w:p>
        </w:tc>
      </w:tr>
      <w:tr w14:paraId="28F5C2EA">
        <w:tblPrEx>
          <w:tblCellMar>
            <w:top w:w="0" w:type="dxa"/>
            <w:left w:w="108" w:type="dxa"/>
            <w:bottom w:w="0" w:type="dxa"/>
            <w:right w:w="108" w:type="dxa"/>
          </w:tblCellMar>
        </w:tblPrEx>
        <w:trPr>
          <w:trHeight w:val="420" w:hRule="atLeast"/>
          <w:jc w:val="center"/>
        </w:trPr>
        <w:tc>
          <w:tcPr>
            <w:tcW w:w="3082" w:type="dxa"/>
            <w:tcBorders>
              <w:top w:val="nil"/>
              <w:left w:val="single" w:color="auto" w:sz="4" w:space="0"/>
              <w:bottom w:val="single" w:color="auto" w:sz="4" w:space="0"/>
              <w:right w:val="single" w:color="auto" w:sz="4" w:space="0"/>
            </w:tcBorders>
            <w:noWrap/>
            <w:vAlign w:val="center"/>
          </w:tcPr>
          <w:p w14:paraId="6EEA84A2">
            <w:pPr>
              <w:rPr>
                <w:rFonts w:cs="宋体"/>
                <w:kern w:val="0"/>
                <w:szCs w:val="21"/>
                <w:lang w:bidi="ar"/>
              </w:rPr>
            </w:pPr>
            <w:r>
              <w:rPr>
                <w:kern w:val="0"/>
                <w:lang w:bidi="ar"/>
              </w:rPr>
              <w:t>盈余公积</w:t>
            </w:r>
          </w:p>
        </w:tc>
        <w:tc>
          <w:tcPr>
            <w:tcW w:w="2160" w:type="dxa"/>
            <w:tcBorders>
              <w:top w:val="nil"/>
              <w:left w:val="nil"/>
              <w:bottom w:val="single" w:color="auto" w:sz="4" w:space="0"/>
              <w:right w:val="single" w:color="auto" w:sz="4" w:space="0"/>
            </w:tcBorders>
            <w:noWrap/>
            <w:vAlign w:val="center"/>
          </w:tcPr>
          <w:p w14:paraId="35EF1C1C">
            <w:pPr>
              <w:widowControl/>
              <w:jc w:val="right"/>
              <w:textAlignment w:val="center"/>
              <w:rPr>
                <w:color w:val="000000"/>
                <w:kern w:val="0"/>
                <w:szCs w:val="21"/>
              </w:rPr>
            </w:pPr>
            <w:r>
              <w:rPr>
                <w:color w:val="000000"/>
                <w:kern w:val="0"/>
                <w:szCs w:val="21"/>
                <w:lang w:bidi="ar"/>
              </w:rPr>
              <w:t>275,429,601.44</w:t>
            </w:r>
          </w:p>
        </w:tc>
        <w:tc>
          <w:tcPr>
            <w:tcW w:w="2040" w:type="dxa"/>
            <w:tcBorders>
              <w:top w:val="nil"/>
              <w:left w:val="nil"/>
              <w:bottom w:val="single" w:color="auto" w:sz="4" w:space="0"/>
              <w:right w:val="single" w:color="auto" w:sz="4" w:space="0"/>
            </w:tcBorders>
            <w:noWrap/>
            <w:vAlign w:val="center"/>
          </w:tcPr>
          <w:p w14:paraId="31162F52">
            <w:pPr>
              <w:widowControl/>
              <w:jc w:val="right"/>
              <w:textAlignment w:val="center"/>
              <w:rPr>
                <w:color w:val="000000"/>
                <w:kern w:val="0"/>
                <w:szCs w:val="21"/>
              </w:rPr>
            </w:pPr>
            <w:r>
              <w:rPr>
                <w:color w:val="000000"/>
                <w:kern w:val="0"/>
                <w:szCs w:val="21"/>
                <w:lang w:bidi="ar"/>
              </w:rPr>
              <w:t>264,198,620.28</w:t>
            </w:r>
          </w:p>
        </w:tc>
        <w:tc>
          <w:tcPr>
            <w:tcW w:w="1056" w:type="dxa"/>
            <w:tcBorders>
              <w:top w:val="nil"/>
              <w:left w:val="nil"/>
              <w:bottom w:val="single" w:color="auto" w:sz="4" w:space="0"/>
              <w:right w:val="single" w:color="auto" w:sz="4" w:space="0"/>
            </w:tcBorders>
            <w:noWrap/>
            <w:vAlign w:val="center"/>
          </w:tcPr>
          <w:p w14:paraId="3B222BC4">
            <w:pPr>
              <w:widowControl/>
              <w:jc w:val="right"/>
              <w:textAlignment w:val="center"/>
              <w:rPr>
                <w:color w:val="000000"/>
                <w:kern w:val="0"/>
                <w:szCs w:val="21"/>
              </w:rPr>
            </w:pPr>
            <w:r>
              <w:rPr>
                <w:color w:val="000000"/>
                <w:kern w:val="0"/>
                <w:sz w:val="24"/>
                <w:lang w:bidi="ar"/>
              </w:rPr>
              <w:t>4.25</w:t>
            </w:r>
          </w:p>
        </w:tc>
      </w:tr>
      <w:tr w14:paraId="23BAA156">
        <w:tblPrEx>
          <w:tblCellMar>
            <w:top w:w="0" w:type="dxa"/>
            <w:left w:w="108" w:type="dxa"/>
            <w:bottom w:w="0" w:type="dxa"/>
            <w:right w:w="108" w:type="dxa"/>
          </w:tblCellMar>
        </w:tblPrEx>
        <w:trPr>
          <w:trHeight w:val="420" w:hRule="atLeast"/>
          <w:jc w:val="center"/>
        </w:trPr>
        <w:tc>
          <w:tcPr>
            <w:tcW w:w="3082" w:type="dxa"/>
            <w:tcBorders>
              <w:top w:val="nil"/>
              <w:left w:val="single" w:color="auto" w:sz="4" w:space="0"/>
              <w:bottom w:val="single" w:color="auto" w:sz="4" w:space="0"/>
              <w:right w:val="single" w:color="auto" w:sz="4" w:space="0"/>
            </w:tcBorders>
            <w:noWrap/>
            <w:vAlign w:val="center"/>
          </w:tcPr>
          <w:p w14:paraId="77435423">
            <w:pPr>
              <w:rPr>
                <w:rFonts w:cs="宋体"/>
                <w:kern w:val="0"/>
                <w:szCs w:val="21"/>
                <w:lang w:bidi="ar"/>
              </w:rPr>
            </w:pPr>
            <w:r>
              <w:rPr>
                <w:kern w:val="0"/>
                <w:lang w:bidi="ar"/>
              </w:rPr>
              <w:t>未分配利润</w:t>
            </w:r>
          </w:p>
        </w:tc>
        <w:tc>
          <w:tcPr>
            <w:tcW w:w="2160" w:type="dxa"/>
            <w:tcBorders>
              <w:top w:val="nil"/>
              <w:left w:val="nil"/>
              <w:bottom w:val="single" w:color="auto" w:sz="4" w:space="0"/>
              <w:right w:val="single" w:color="auto" w:sz="4" w:space="0"/>
            </w:tcBorders>
            <w:noWrap/>
            <w:vAlign w:val="center"/>
          </w:tcPr>
          <w:p w14:paraId="6CFFA757">
            <w:pPr>
              <w:widowControl/>
              <w:jc w:val="right"/>
              <w:textAlignment w:val="center"/>
              <w:rPr>
                <w:color w:val="000000"/>
                <w:kern w:val="0"/>
                <w:szCs w:val="21"/>
              </w:rPr>
            </w:pPr>
            <w:r>
              <w:rPr>
                <w:color w:val="000000"/>
                <w:kern w:val="0"/>
                <w:szCs w:val="21"/>
                <w:lang w:bidi="ar"/>
              </w:rPr>
              <w:t>1,195,110,646.29</w:t>
            </w:r>
          </w:p>
        </w:tc>
        <w:tc>
          <w:tcPr>
            <w:tcW w:w="2040" w:type="dxa"/>
            <w:tcBorders>
              <w:top w:val="nil"/>
              <w:left w:val="nil"/>
              <w:bottom w:val="single" w:color="auto" w:sz="4" w:space="0"/>
              <w:right w:val="single" w:color="auto" w:sz="4" w:space="0"/>
            </w:tcBorders>
            <w:noWrap/>
            <w:vAlign w:val="center"/>
          </w:tcPr>
          <w:p w14:paraId="26C3B2B6">
            <w:pPr>
              <w:widowControl/>
              <w:jc w:val="right"/>
              <w:textAlignment w:val="center"/>
              <w:rPr>
                <w:color w:val="000000"/>
                <w:kern w:val="0"/>
                <w:szCs w:val="21"/>
              </w:rPr>
            </w:pPr>
            <w:r>
              <w:rPr>
                <w:color w:val="000000"/>
                <w:kern w:val="0"/>
                <w:szCs w:val="21"/>
                <w:lang w:bidi="ar"/>
              </w:rPr>
              <w:t>1,189,501,348.62</w:t>
            </w:r>
          </w:p>
        </w:tc>
        <w:tc>
          <w:tcPr>
            <w:tcW w:w="1056" w:type="dxa"/>
            <w:tcBorders>
              <w:top w:val="nil"/>
              <w:left w:val="nil"/>
              <w:bottom w:val="single" w:color="auto" w:sz="4" w:space="0"/>
              <w:right w:val="single" w:color="auto" w:sz="4" w:space="0"/>
            </w:tcBorders>
            <w:noWrap/>
            <w:vAlign w:val="center"/>
          </w:tcPr>
          <w:p w14:paraId="3CABBE91">
            <w:pPr>
              <w:widowControl/>
              <w:jc w:val="right"/>
              <w:textAlignment w:val="center"/>
              <w:rPr>
                <w:color w:val="000000"/>
                <w:kern w:val="0"/>
                <w:szCs w:val="21"/>
              </w:rPr>
            </w:pPr>
            <w:r>
              <w:rPr>
                <w:color w:val="000000"/>
                <w:kern w:val="0"/>
                <w:sz w:val="24"/>
                <w:lang w:bidi="ar"/>
              </w:rPr>
              <w:t>0.47</w:t>
            </w:r>
          </w:p>
        </w:tc>
      </w:tr>
      <w:tr w14:paraId="40A7B9B2">
        <w:tblPrEx>
          <w:tblCellMar>
            <w:top w:w="0" w:type="dxa"/>
            <w:left w:w="108" w:type="dxa"/>
            <w:bottom w:w="0" w:type="dxa"/>
            <w:right w:w="108" w:type="dxa"/>
          </w:tblCellMar>
        </w:tblPrEx>
        <w:trPr>
          <w:trHeight w:val="420" w:hRule="atLeast"/>
          <w:jc w:val="center"/>
        </w:trPr>
        <w:tc>
          <w:tcPr>
            <w:tcW w:w="3082" w:type="dxa"/>
            <w:tcBorders>
              <w:top w:val="nil"/>
              <w:left w:val="single" w:color="auto" w:sz="4" w:space="0"/>
              <w:bottom w:val="single" w:color="auto" w:sz="4" w:space="0"/>
              <w:right w:val="single" w:color="auto" w:sz="4" w:space="0"/>
            </w:tcBorders>
            <w:noWrap/>
            <w:vAlign w:val="center"/>
          </w:tcPr>
          <w:p w14:paraId="49CC1FDB">
            <w:pPr>
              <w:rPr>
                <w:rFonts w:cs="宋体"/>
                <w:kern w:val="0"/>
                <w:szCs w:val="21"/>
                <w:lang w:bidi="ar"/>
              </w:rPr>
            </w:pPr>
            <w:r>
              <w:rPr>
                <w:kern w:val="0"/>
                <w:lang w:bidi="ar"/>
              </w:rPr>
              <w:t>少数股东权益</w:t>
            </w:r>
          </w:p>
        </w:tc>
        <w:tc>
          <w:tcPr>
            <w:tcW w:w="2160" w:type="dxa"/>
            <w:tcBorders>
              <w:top w:val="nil"/>
              <w:left w:val="nil"/>
              <w:bottom w:val="single" w:color="auto" w:sz="4" w:space="0"/>
              <w:right w:val="single" w:color="auto" w:sz="4" w:space="0"/>
            </w:tcBorders>
            <w:noWrap/>
            <w:vAlign w:val="center"/>
          </w:tcPr>
          <w:p w14:paraId="36EEF691">
            <w:pPr>
              <w:widowControl/>
              <w:jc w:val="right"/>
              <w:textAlignment w:val="center"/>
              <w:rPr>
                <w:color w:val="000000"/>
                <w:kern w:val="0"/>
                <w:szCs w:val="21"/>
              </w:rPr>
            </w:pPr>
            <w:r>
              <w:rPr>
                <w:color w:val="000000"/>
                <w:kern w:val="0"/>
                <w:szCs w:val="21"/>
                <w:lang w:bidi="ar"/>
              </w:rPr>
              <w:t>16,227,505.12</w:t>
            </w:r>
          </w:p>
        </w:tc>
        <w:tc>
          <w:tcPr>
            <w:tcW w:w="2040" w:type="dxa"/>
            <w:tcBorders>
              <w:top w:val="nil"/>
              <w:left w:val="nil"/>
              <w:bottom w:val="single" w:color="auto" w:sz="4" w:space="0"/>
              <w:right w:val="single" w:color="auto" w:sz="4" w:space="0"/>
            </w:tcBorders>
            <w:noWrap/>
            <w:vAlign w:val="center"/>
          </w:tcPr>
          <w:p w14:paraId="0875E2A2">
            <w:pPr>
              <w:widowControl/>
              <w:jc w:val="right"/>
              <w:textAlignment w:val="center"/>
              <w:rPr>
                <w:color w:val="000000"/>
                <w:kern w:val="0"/>
                <w:szCs w:val="21"/>
              </w:rPr>
            </w:pPr>
            <w:r>
              <w:rPr>
                <w:color w:val="000000"/>
                <w:kern w:val="0"/>
                <w:szCs w:val="21"/>
                <w:lang w:bidi="ar"/>
              </w:rPr>
              <w:t>14,498,119.45</w:t>
            </w:r>
          </w:p>
        </w:tc>
        <w:tc>
          <w:tcPr>
            <w:tcW w:w="1056" w:type="dxa"/>
            <w:tcBorders>
              <w:top w:val="nil"/>
              <w:left w:val="nil"/>
              <w:bottom w:val="single" w:color="auto" w:sz="4" w:space="0"/>
              <w:right w:val="single" w:color="auto" w:sz="4" w:space="0"/>
            </w:tcBorders>
            <w:noWrap/>
            <w:vAlign w:val="center"/>
          </w:tcPr>
          <w:p w14:paraId="2D841F0B">
            <w:pPr>
              <w:widowControl/>
              <w:jc w:val="right"/>
              <w:textAlignment w:val="center"/>
              <w:rPr>
                <w:color w:val="000000"/>
                <w:kern w:val="0"/>
                <w:szCs w:val="21"/>
              </w:rPr>
            </w:pPr>
            <w:r>
              <w:rPr>
                <w:color w:val="000000"/>
                <w:kern w:val="0"/>
                <w:sz w:val="24"/>
                <w:lang w:bidi="ar"/>
              </w:rPr>
              <w:t>11.93</w:t>
            </w:r>
          </w:p>
        </w:tc>
      </w:tr>
      <w:tr w14:paraId="1CC1E44D">
        <w:tblPrEx>
          <w:tblCellMar>
            <w:top w:w="0" w:type="dxa"/>
            <w:left w:w="108" w:type="dxa"/>
            <w:bottom w:w="0" w:type="dxa"/>
            <w:right w:w="108" w:type="dxa"/>
          </w:tblCellMar>
        </w:tblPrEx>
        <w:trPr>
          <w:trHeight w:val="420" w:hRule="atLeast"/>
          <w:jc w:val="center"/>
        </w:trPr>
        <w:tc>
          <w:tcPr>
            <w:tcW w:w="3082" w:type="dxa"/>
            <w:tcBorders>
              <w:top w:val="nil"/>
              <w:left w:val="single" w:color="auto" w:sz="4" w:space="0"/>
              <w:bottom w:val="single" w:color="auto" w:sz="4" w:space="0"/>
              <w:right w:val="single" w:color="auto" w:sz="4" w:space="0"/>
            </w:tcBorders>
            <w:vAlign w:val="center"/>
          </w:tcPr>
          <w:p w14:paraId="7D8BAD30">
            <w:pPr>
              <w:rPr>
                <w:rFonts w:cs="宋体"/>
                <w:kern w:val="0"/>
                <w:szCs w:val="21"/>
                <w:lang w:bidi="ar"/>
              </w:rPr>
            </w:pPr>
            <w:r>
              <w:rPr>
                <w:kern w:val="0"/>
                <w:lang w:bidi="ar"/>
              </w:rPr>
              <w:t>营业收入</w:t>
            </w:r>
          </w:p>
        </w:tc>
        <w:tc>
          <w:tcPr>
            <w:tcW w:w="2160" w:type="dxa"/>
            <w:tcBorders>
              <w:top w:val="nil"/>
              <w:left w:val="nil"/>
              <w:bottom w:val="single" w:color="auto" w:sz="4" w:space="0"/>
              <w:right w:val="single" w:color="auto" w:sz="4" w:space="0"/>
            </w:tcBorders>
            <w:noWrap/>
            <w:vAlign w:val="center"/>
          </w:tcPr>
          <w:p w14:paraId="72800E3C">
            <w:pPr>
              <w:widowControl/>
              <w:jc w:val="right"/>
              <w:textAlignment w:val="center"/>
              <w:rPr>
                <w:color w:val="000000"/>
                <w:kern w:val="0"/>
                <w:szCs w:val="21"/>
              </w:rPr>
            </w:pPr>
            <w:r>
              <w:rPr>
                <w:color w:val="000000"/>
                <w:kern w:val="0"/>
                <w:szCs w:val="21"/>
                <w:lang w:bidi="ar"/>
              </w:rPr>
              <w:t>1,051,302,734.38</w:t>
            </w:r>
          </w:p>
        </w:tc>
        <w:tc>
          <w:tcPr>
            <w:tcW w:w="2040" w:type="dxa"/>
            <w:tcBorders>
              <w:top w:val="nil"/>
              <w:left w:val="nil"/>
              <w:bottom w:val="single" w:color="auto" w:sz="4" w:space="0"/>
              <w:right w:val="single" w:color="auto" w:sz="4" w:space="0"/>
            </w:tcBorders>
            <w:noWrap/>
            <w:vAlign w:val="center"/>
          </w:tcPr>
          <w:p w14:paraId="35AF011E">
            <w:pPr>
              <w:widowControl/>
              <w:jc w:val="right"/>
              <w:textAlignment w:val="center"/>
              <w:rPr>
                <w:color w:val="000000"/>
                <w:kern w:val="0"/>
                <w:szCs w:val="21"/>
              </w:rPr>
            </w:pPr>
            <w:r>
              <w:rPr>
                <w:color w:val="000000"/>
                <w:kern w:val="0"/>
                <w:szCs w:val="21"/>
                <w:lang w:bidi="ar"/>
              </w:rPr>
              <w:t>1,416,060,096.58</w:t>
            </w:r>
          </w:p>
        </w:tc>
        <w:tc>
          <w:tcPr>
            <w:tcW w:w="1056" w:type="dxa"/>
            <w:tcBorders>
              <w:top w:val="nil"/>
              <w:left w:val="nil"/>
              <w:bottom w:val="single" w:color="auto" w:sz="4" w:space="0"/>
              <w:right w:val="single" w:color="auto" w:sz="4" w:space="0"/>
            </w:tcBorders>
            <w:noWrap/>
            <w:vAlign w:val="center"/>
          </w:tcPr>
          <w:p w14:paraId="15CAB657">
            <w:pPr>
              <w:widowControl/>
              <w:jc w:val="right"/>
              <w:textAlignment w:val="center"/>
              <w:rPr>
                <w:color w:val="000000"/>
                <w:kern w:val="0"/>
                <w:szCs w:val="21"/>
              </w:rPr>
            </w:pPr>
            <w:r>
              <w:rPr>
                <w:color w:val="000000"/>
                <w:kern w:val="0"/>
                <w:sz w:val="24"/>
                <w:lang w:bidi="ar"/>
              </w:rPr>
              <w:t>-25.76</w:t>
            </w:r>
          </w:p>
        </w:tc>
      </w:tr>
      <w:tr w14:paraId="601F5916">
        <w:tblPrEx>
          <w:tblCellMar>
            <w:top w:w="0" w:type="dxa"/>
            <w:left w:w="108" w:type="dxa"/>
            <w:bottom w:w="0" w:type="dxa"/>
            <w:right w:w="108" w:type="dxa"/>
          </w:tblCellMar>
        </w:tblPrEx>
        <w:trPr>
          <w:trHeight w:val="420" w:hRule="atLeast"/>
          <w:jc w:val="center"/>
        </w:trPr>
        <w:tc>
          <w:tcPr>
            <w:tcW w:w="3082" w:type="dxa"/>
            <w:tcBorders>
              <w:top w:val="nil"/>
              <w:left w:val="single" w:color="auto" w:sz="4" w:space="0"/>
              <w:bottom w:val="single" w:color="auto" w:sz="4" w:space="0"/>
              <w:right w:val="single" w:color="auto" w:sz="4" w:space="0"/>
            </w:tcBorders>
            <w:vAlign w:val="center"/>
          </w:tcPr>
          <w:p w14:paraId="55601665">
            <w:pPr>
              <w:rPr>
                <w:rFonts w:cs="宋体"/>
                <w:kern w:val="0"/>
                <w:szCs w:val="21"/>
                <w:lang w:bidi="ar"/>
              </w:rPr>
            </w:pPr>
            <w:r>
              <w:rPr>
                <w:kern w:val="0"/>
                <w:lang w:bidi="ar"/>
              </w:rPr>
              <w:t>营业成本</w:t>
            </w:r>
          </w:p>
        </w:tc>
        <w:tc>
          <w:tcPr>
            <w:tcW w:w="2160" w:type="dxa"/>
            <w:tcBorders>
              <w:top w:val="nil"/>
              <w:left w:val="nil"/>
              <w:bottom w:val="single" w:color="auto" w:sz="4" w:space="0"/>
              <w:right w:val="single" w:color="auto" w:sz="4" w:space="0"/>
            </w:tcBorders>
            <w:noWrap/>
            <w:vAlign w:val="center"/>
          </w:tcPr>
          <w:p w14:paraId="6247F1E9">
            <w:pPr>
              <w:widowControl/>
              <w:jc w:val="right"/>
              <w:textAlignment w:val="center"/>
              <w:rPr>
                <w:color w:val="000000"/>
                <w:kern w:val="0"/>
                <w:szCs w:val="21"/>
              </w:rPr>
            </w:pPr>
            <w:r>
              <w:rPr>
                <w:color w:val="000000"/>
                <w:kern w:val="0"/>
                <w:szCs w:val="21"/>
                <w:lang w:bidi="ar"/>
              </w:rPr>
              <w:t>800,321,121.61</w:t>
            </w:r>
          </w:p>
        </w:tc>
        <w:tc>
          <w:tcPr>
            <w:tcW w:w="2040" w:type="dxa"/>
            <w:tcBorders>
              <w:top w:val="nil"/>
              <w:left w:val="nil"/>
              <w:bottom w:val="single" w:color="auto" w:sz="4" w:space="0"/>
              <w:right w:val="single" w:color="auto" w:sz="4" w:space="0"/>
            </w:tcBorders>
            <w:noWrap/>
            <w:vAlign w:val="center"/>
          </w:tcPr>
          <w:p w14:paraId="7D1873F2">
            <w:pPr>
              <w:widowControl/>
              <w:jc w:val="right"/>
              <w:textAlignment w:val="center"/>
              <w:rPr>
                <w:color w:val="000000"/>
                <w:kern w:val="0"/>
                <w:szCs w:val="21"/>
              </w:rPr>
            </w:pPr>
            <w:r>
              <w:rPr>
                <w:color w:val="000000"/>
                <w:kern w:val="0"/>
                <w:szCs w:val="21"/>
                <w:lang w:bidi="ar"/>
              </w:rPr>
              <w:t>1,195,539,494.89</w:t>
            </w:r>
          </w:p>
        </w:tc>
        <w:tc>
          <w:tcPr>
            <w:tcW w:w="1056" w:type="dxa"/>
            <w:tcBorders>
              <w:top w:val="nil"/>
              <w:left w:val="nil"/>
              <w:bottom w:val="single" w:color="auto" w:sz="4" w:space="0"/>
              <w:right w:val="single" w:color="auto" w:sz="4" w:space="0"/>
            </w:tcBorders>
            <w:noWrap/>
            <w:vAlign w:val="center"/>
          </w:tcPr>
          <w:p w14:paraId="2E25183B">
            <w:pPr>
              <w:widowControl/>
              <w:jc w:val="right"/>
              <w:textAlignment w:val="center"/>
              <w:rPr>
                <w:color w:val="000000"/>
                <w:kern w:val="0"/>
                <w:szCs w:val="21"/>
              </w:rPr>
            </w:pPr>
            <w:r>
              <w:rPr>
                <w:color w:val="000000"/>
                <w:kern w:val="0"/>
                <w:sz w:val="24"/>
                <w:lang w:bidi="ar"/>
              </w:rPr>
              <w:t>-33.06</w:t>
            </w:r>
          </w:p>
        </w:tc>
      </w:tr>
      <w:tr w14:paraId="290B5F05">
        <w:tblPrEx>
          <w:tblCellMar>
            <w:top w:w="0" w:type="dxa"/>
            <w:left w:w="108" w:type="dxa"/>
            <w:bottom w:w="0" w:type="dxa"/>
            <w:right w:w="108" w:type="dxa"/>
          </w:tblCellMar>
        </w:tblPrEx>
        <w:trPr>
          <w:trHeight w:val="420" w:hRule="atLeast"/>
          <w:jc w:val="center"/>
        </w:trPr>
        <w:tc>
          <w:tcPr>
            <w:tcW w:w="3082" w:type="dxa"/>
            <w:tcBorders>
              <w:top w:val="nil"/>
              <w:left w:val="single" w:color="auto" w:sz="4" w:space="0"/>
              <w:bottom w:val="single" w:color="auto" w:sz="4" w:space="0"/>
              <w:right w:val="single" w:color="auto" w:sz="4" w:space="0"/>
            </w:tcBorders>
            <w:vAlign w:val="center"/>
          </w:tcPr>
          <w:p w14:paraId="2DA9900A">
            <w:pPr>
              <w:rPr>
                <w:rFonts w:cs="宋体"/>
                <w:kern w:val="0"/>
                <w:szCs w:val="21"/>
                <w:lang w:bidi="ar"/>
              </w:rPr>
            </w:pPr>
            <w:r>
              <w:rPr>
                <w:kern w:val="0"/>
                <w:lang w:bidi="ar"/>
              </w:rPr>
              <w:t>营业税金及附加</w:t>
            </w:r>
          </w:p>
        </w:tc>
        <w:tc>
          <w:tcPr>
            <w:tcW w:w="2160" w:type="dxa"/>
            <w:tcBorders>
              <w:top w:val="nil"/>
              <w:left w:val="nil"/>
              <w:bottom w:val="single" w:color="auto" w:sz="4" w:space="0"/>
              <w:right w:val="single" w:color="auto" w:sz="4" w:space="0"/>
            </w:tcBorders>
            <w:noWrap/>
            <w:vAlign w:val="center"/>
          </w:tcPr>
          <w:p w14:paraId="5D078A73">
            <w:pPr>
              <w:widowControl/>
              <w:jc w:val="right"/>
              <w:textAlignment w:val="center"/>
              <w:rPr>
                <w:color w:val="000000"/>
                <w:kern w:val="0"/>
                <w:szCs w:val="21"/>
              </w:rPr>
            </w:pPr>
            <w:r>
              <w:rPr>
                <w:color w:val="000000"/>
                <w:kern w:val="0"/>
                <w:szCs w:val="21"/>
                <w:lang w:bidi="ar"/>
              </w:rPr>
              <w:t>9,051,778.06</w:t>
            </w:r>
          </w:p>
        </w:tc>
        <w:tc>
          <w:tcPr>
            <w:tcW w:w="2040" w:type="dxa"/>
            <w:tcBorders>
              <w:top w:val="nil"/>
              <w:left w:val="nil"/>
              <w:bottom w:val="single" w:color="auto" w:sz="4" w:space="0"/>
              <w:right w:val="single" w:color="auto" w:sz="4" w:space="0"/>
            </w:tcBorders>
            <w:noWrap/>
            <w:vAlign w:val="center"/>
          </w:tcPr>
          <w:p w14:paraId="05574E2C">
            <w:pPr>
              <w:widowControl/>
              <w:jc w:val="right"/>
              <w:textAlignment w:val="center"/>
              <w:rPr>
                <w:color w:val="000000"/>
                <w:kern w:val="0"/>
                <w:szCs w:val="21"/>
              </w:rPr>
            </w:pPr>
            <w:r>
              <w:rPr>
                <w:color w:val="000000"/>
                <w:kern w:val="0"/>
                <w:szCs w:val="21"/>
                <w:lang w:bidi="ar"/>
              </w:rPr>
              <w:t>8,488,700.76</w:t>
            </w:r>
          </w:p>
        </w:tc>
        <w:tc>
          <w:tcPr>
            <w:tcW w:w="1056" w:type="dxa"/>
            <w:tcBorders>
              <w:top w:val="nil"/>
              <w:left w:val="nil"/>
              <w:bottom w:val="single" w:color="auto" w:sz="4" w:space="0"/>
              <w:right w:val="single" w:color="auto" w:sz="4" w:space="0"/>
            </w:tcBorders>
            <w:noWrap/>
            <w:vAlign w:val="center"/>
          </w:tcPr>
          <w:p w14:paraId="015EB326">
            <w:pPr>
              <w:widowControl/>
              <w:jc w:val="right"/>
              <w:textAlignment w:val="center"/>
              <w:rPr>
                <w:color w:val="000000"/>
                <w:kern w:val="0"/>
                <w:szCs w:val="21"/>
              </w:rPr>
            </w:pPr>
            <w:r>
              <w:rPr>
                <w:color w:val="000000"/>
                <w:kern w:val="0"/>
                <w:sz w:val="24"/>
                <w:lang w:bidi="ar"/>
              </w:rPr>
              <w:t>6.63</w:t>
            </w:r>
          </w:p>
        </w:tc>
      </w:tr>
      <w:tr w14:paraId="4CF63827">
        <w:tblPrEx>
          <w:tblCellMar>
            <w:top w:w="0" w:type="dxa"/>
            <w:left w:w="108" w:type="dxa"/>
            <w:bottom w:w="0" w:type="dxa"/>
            <w:right w:w="108" w:type="dxa"/>
          </w:tblCellMar>
        </w:tblPrEx>
        <w:trPr>
          <w:trHeight w:val="420" w:hRule="atLeast"/>
          <w:jc w:val="center"/>
        </w:trPr>
        <w:tc>
          <w:tcPr>
            <w:tcW w:w="3082" w:type="dxa"/>
            <w:tcBorders>
              <w:top w:val="nil"/>
              <w:left w:val="single" w:color="auto" w:sz="4" w:space="0"/>
              <w:bottom w:val="single" w:color="auto" w:sz="4" w:space="0"/>
              <w:right w:val="single" w:color="auto" w:sz="4" w:space="0"/>
            </w:tcBorders>
            <w:vAlign w:val="center"/>
          </w:tcPr>
          <w:p w14:paraId="34490EB9">
            <w:pPr>
              <w:rPr>
                <w:rFonts w:cs="宋体"/>
                <w:kern w:val="0"/>
                <w:szCs w:val="21"/>
                <w:lang w:bidi="ar"/>
              </w:rPr>
            </w:pPr>
            <w:r>
              <w:rPr>
                <w:kern w:val="0"/>
                <w:lang w:bidi="ar"/>
              </w:rPr>
              <w:t>销售费用</w:t>
            </w:r>
          </w:p>
        </w:tc>
        <w:tc>
          <w:tcPr>
            <w:tcW w:w="2160" w:type="dxa"/>
            <w:tcBorders>
              <w:top w:val="nil"/>
              <w:left w:val="nil"/>
              <w:bottom w:val="single" w:color="auto" w:sz="4" w:space="0"/>
              <w:right w:val="single" w:color="auto" w:sz="4" w:space="0"/>
            </w:tcBorders>
            <w:noWrap/>
            <w:vAlign w:val="center"/>
          </w:tcPr>
          <w:p w14:paraId="71C68E42">
            <w:pPr>
              <w:widowControl/>
              <w:jc w:val="right"/>
              <w:textAlignment w:val="center"/>
              <w:rPr>
                <w:color w:val="000000"/>
                <w:kern w:val="0"/>
                <w:szCs w:val="21"/>
              </w:rPr>
            </w:pPr>
            <w:r>
              <w:rPr>
                <w:color w:val="000000"/>
                <w:kern w:val="0"/>
                <w:szCs w:val="21"/>
                <w:lang w:bidi="ar"/>
              </w:rPr>
              <w:t>22,673,106.60</w:t>
            </w:r>
          </w:p>
        </w:tc>
        <w:tc>
          <w:tcPr>
            <w:tcW w:w="2040" w:type="dxa"/>
            <w:tcBorders>
              <w:top w:val="nil"/>
              <w:left w:val="nil"/>
              <w:bottom w:val="single" w:color="auto" w:sz="4" w:space="0"/>
              <w:right w:val="single" w:color="auto" w:sz="4" w:space="0"/>
            </w:tcBorders>
            <w:noWrap/>
            <w:vAlign w:val="center"/>
          </w:tcPr>
          <w:p w14:paraId="694C6143">
            <w:pPr>
              <w:widowControl/>
              <w:jc w:val="right"/>
              <w:textAlignment w:val="center"/>
              <w:rPr>
                <w:color w:val="000000"/>
                <w:kern w:val="0"/>
                <w:szCs w:val="21"/>
              </w:rPr>
            </w:pPr>
            <w:r>
              <w:rPr>
                <w:color w:val="000000"/>
                <w:kern w:val="0"/>
                <w:szCs w:val="21"/>
                <w:lang w:bidi="ar"/>
              </w:rPr>
              <w:t>24,177,140.42</w:t>
            </w:r>
          </w:p>
        </w:tc>
        <w:tc>
          <w:tcPr>
            <w:tcW w:w="1056" w:type="dxa"/>
            <w:tcBorders>
              <w:top w:val="nil"/>
              <w:left w:val="nil"/>
              <w:bottom w:val="single" w:color="auto" w:sz="4" w:space="0"/>
              <w:right w:val="single" w:color="auto" w:sz="4" w:space="0"/>
            </w:tcBorders>
            <w:noWrap/>
            <w:vAlign w:val="center"/>
          </w:tcPr>
          <w:p w14:paraId="323C437F">
            <w:pPr>
              <w:widowControl/>
              <w:jc w:val="right"/>
              <w:textAlignment w:val="center"/>
              <w:rPr>
                <w:color w:val="000000"/>
                <w:kern w:val="0"/>
                <w:szCs w:val="21"/>
              </w:rPr>
            </w:pPr>
            <w:r>
              <w:rPr>
                <w:color w:val="000000"/>
                <w:kern w:val="0"/>
                <w:sz w:val="24"/>
                <w:lang w:bidi="ar"/>
              </w:rPr>
              <w:t>-6.22</w:t>
            </w:r>
          </w:p>
        </w:tc>
      </w:tr>
      <w:tr w14:paraId="06AD6C7C">
        <w:tblPrEx>
          <w:tblCellMar>
            <w:top w:w="0" w:type="dxa"/>
            <w:left w:w="108" w:type="dxa"/>
            <w:bottom w:w="0" w:type="dxa"/>
            <w:right w:w="108" w:type="dxa"/>
          </w:tblCellMar>
        </w:tblPrEx>
        <w:trPr>
          <w:trHeight w:val="420" w:hRule="atLeast"/>
          <w:jc w:val="center"/>
        </w:trPr>
        <w:tc>
          <w:tcPr>
            <w:tcW w:w="3082" w:type="dxa"/>
            <w:tcBorders>
              <w:top w:val="nil"/>
              <w:left w:val="single" w:color="auto" w:sz="4" w:space="0"/>
              <w:bottom w:val="single" w:color="auto" w:sz="4" w:space="0"/>
              <w:right w:val="single" w:color="auto" w:sz="4" w:space="0"/>
            </w:tcBorders>
            <w:vAlign w:val="center"/>
          </w:tcPr>
          <w:p w14:paraId="1CD501EB">
            <w:pPr>
              <w:rPr>
                <w:rFonts w:cs="宋体"/>
                <w:kern w:val="0"/>
                <w:szCs w:val="21"/>
                <w:lang w:bidi="ar"/>
              </w:rPr>
            </w:pPr>
            <w:r>
              <w:rPr>
                <w:kern w:val="0"/>
                <w:lang w:bidi="ar"/>
              </w:rPr>
              <w:t>管理费用</w:t>
            </w:r>
          </w:p>
        </w:tc>
        <w:tc>
          <w:tcPr>
            <w:tcW w:w="2160" w:type="dxa"/>
            <w:tcBorders>
              <w:top w:val="nil"/>
              <w:left w:val="nil"/>
              <w:bottom w:val="single" w:color="auto" w:sz="4" w:space="0"/>
              <w:right w:val="single" w:color="auto" w:sz="4" w:space="0"/>
            </w:tcBorders>
            <w:noWrap/>
            <w:vAlign w:val="center"/>
          </w:tcPr>
          <w:p w14:paraId="32B74E5E">
            <w:pPr>
              <w:widowControl/>
              <w:jc w:val="right"/>
              <w:textAlignment w:val="center"/>
              <w:rPr>
                <w:color w:val="000000"/>
                <w:kern w:val="0"/>
                <w:szCs w:val="21"/>
              </w:rPr>
            </w:pPr>
            <w:r>
              <w:rPr>
                <w:color w:val="000000"/>
                <w:kern w:val="0"/>
                <w:szCs w:val="21"/>
                <w:lang w:bidi="ar"/>
              </w:rPr>
              <w:t>56,469,521.76</w:t>
            </w:r>
          </w:p>
        </w:tc>
        <w:tc>
          <w:tcPr>
            <w:tcW w:w="2040" w:type="dxa"/>
            <w:tcBorders>
              <w:top w:val="nil"/>
              <w:left w:val="nil"/>
              <w:bottom w:val="single" w:color="auto" w:sz="4" w:space="0"/>
              <w:right w:val="single" w:color="auto" w:sz="4" w:space="0"/>
            </w:tcBorders>
            <w:noWrap/>
            <w:vAlign w:val="center"/>
          </w:tcPr>
          <w:p w14:paraId="3D463641">
            <w:pPr>
              <w:widowControl/>
              <w:jc w:val="right"/>
              <w:textAlignment w:val="center"/>
              <w:rPr>
                <w:color w:val="000000"/>
                <w:kern w:val="0"/>
                <w:szCs w:val="21"/>
              </w:rPr>
            </w:pPr>
            <w:r>
              <w:rPr>
                <w:color w:val="000000"/>
                <w:kern w:val="0"/>
                <w:szCs w:val="21"/>
                <w:lang w:bidi="ar"/>
              </w:rPr>
              <w:t>59,062,211.22</w:t>
            </w:r>
          </w:p>
        </w:tc>
        <w:tc>
          <w:tcPr>
            <w:tcW w:w="1056" w:type="dxa"/>
            <w:tcBorders>
              <w:top w:val="nil"/>
              <w:left w:val="nil"/>
              <w:bottom w:val="single" w:color="auto" w:sz="4" w:space="0"/>
              <w:right w:val="single" w:color="auto" w:sz="4" w:space="0"/>
            </w:tcBorders>
            <w:noWrap/>
            <w:vAlign w:val="center"/>
          </w:tcPr>
          <w:p w14:paraId="499C27BD">
            <w:pPr>
              <w:widowControl/>
              <w:jc w:val="right"/>
              <w:textAlignment w:val="center"/>
              <w:rPr>
                <w:color w:val="000000"/>
                <w:kern w:val="0"/>
                <w:szCs w:val="21"/>
              </w:rPr>
            </w:pPr>
            <w:r>
              <w:rPr>
                <w:color w:val="000000"/>
                <w:kern w:val="0"/>
                <w:sz w:val="24"/>
                <w:lang w:bidi="ar"/>
              </w:rPr>
              <w:t>-4.39</w:t>
            </w:r>
          </w:p>
        </w:tc>
      </w:tr>
      <w:tr w14:paraId="00F12450">
        <w:tblPrEx>
          <w:tblCellMar>
            <w:top w:w="0" w:type="dxa"/>
            <w:left w:w="108" w:type="dxa"/>
            <w:bottom w:w="0" w:type="dxa"/>
            <w:right w:w="108" w:type="dxa"/>
          </w:tblCellMar>
        </w:tblPrEx>
        <w:trPr>
          <w:trHeight w:val="420" w:hRule="atLeast"/>
          <w:jc w:val="center"/>
        </w:trPr>
        <w:tc>
          <w:tcPr>
            <w:tcW w:w="3082" w:type="dxa"/>
            <w:tcBorders>
              <w:top w:val="nil"/>
              <w:left w:val="single" w:color="auto" w:sz="4" w:space="0"/>
              <w:bottom w:val="single" w:color="auto" w:sz="4" w:space="0"/>
              <w:right w:val="single" w:color="auto" w:sz="4" w:space="0"/>
            </w:tcBorders>
            <w:vAlign w:val="center"/>
          </w:tcPr>
          <w:p w14:paraId="462776F6">
            <w:pPr>
              <w:rPr>
                <w:rFonts w:cs="宋体"/>
                <w:kern w:val="0"/>
                <w:szCs w:val="21"/>
                <w:lang w:bidi="ar"/>
              </w:rPr>
            </w:pPr>
            <w:r>
              <w:rPr>
                <w:rFonts w:hint="eastAsia" w:cs="宋体"/>
                <w:kern w:val="0"/>
                <w:szCs w:val="21"/>
                <w:lang w:bidi="ar"/>
              </w:rPr>
              <w:t>研发费用</w:t>
            </w:r>
          </w:p>
        </w:tc>
        <w:tc>
          <w:tcPr>
            <w:tcW w:w="2160" w:type="dxa"/>
            <w:tcBorders>
              <w:top w:val="nil"/>
              <w:left w:val="nil"/>
              <w:bottom w:val="single" w:color="auto" w:sz="4" w:space="0"/>
              <w:right w:val="single" w:color="auto" w:sz="4" w:space="0"/>
            </w:tcBorders>
            <w:noWrap/>
            <w:vAlign w:val="center"/>
          </w:tcPr>
          <w:p w14:paraId="730B91C2">
            <w:pPr>
              <w:widowControl/>
              <w:jc w:val="right"/>
              <w:textAlignment w:val="center"/>
              <w:rPr>
                <w:color w:val="000000"/>
                <w:kern w:val="0"/>
                <w:szCs w:val="21"/>
              </w:rPr>
            </w:pPr>
            <w:r>
              <w:rPr>
                <w:color w:val="000000"/>
                <w:kern w:val="0"/>
                <w:szCs w:val="21"/>
                <w:lang w:bidi="ar"/>
              </w:rPr>
              <w:t>8,343,932.12</w:t>
            </w:r>
          </w:p>
        </w:tc>
        <w:tc>
          <w:tcPr>
            <w:tcW w:w="2040" w:type="dxa"/>
            <w:tcBorders>
              <w:top w:val="nil"/>
              <w:left w:val="nil"/>
              <w:bottom w:val="single" w:color="auto" w:sz="4" w:space="0"/>
              <w:right w:val="single" w:color="auto" w:sz="4" w:space="0"/>
            </w:tcBorders>
            <w:noWrap/>
            <w:vAlign w:val="center"/>
          </w:tcPr>
          <w:p w14:paraId="1DE3A9E1">
            <w:pPr>
              <w:widowControl/>
              <w:jc w:val="right"/>
              <w:textAlignment w:val="center"/>
              <w:rPr>
                <w:color w:val="000000"/>
                <w:kern w:val="0"/>
                <w:szCs w:val="21"/>
              </w:rPr>
            </w:pPr>
            <w:r>
              <w:rPr>
                <w:color w:val="000000"/>
                <w:kern w:val="0"/>
                <w:szCs w:val="21"/>
                <w:lang w:bidi="ar"/>
              </w:rPr>
              <w:t>5,798,486.81</w:t>
            </w:r>
          </w:p>
        </w:tc>
        <w:tc>
          <w:tcPr>
            <w:tcW w:w="1056" w:type="dxa"/>
            <w:tcBorders>
              <w:top w:val="nil"/>
              <w:left w:val="nil"/>
              <w:bottom w:val="single" w:color="auto" w:sz="4" w:space="0"/>
              <w:right w:val="single" w:color="auto" w:sz="4" w:space="0"/>
            </w:tcBorders>
            <w:noWrap/>
            <w:vAlign w:val="center"/>
          </w:tcPr>
          <w:p w14:paraId="41F8CD84">
            <w:pPr>
              <w:widowControl/>
              <w:jc w:val="right"/>
              <w:textAlignment w:val="center"/>
              <w:rPr>
                <w:color w:val="000000"/>
                <w:kern w:val="0"/>
                <w:szCs w:val="21"/>
              </w:rPr>
            </w:pPr>
            <w:r>
              <w:rPr>
                <w:color w:val="000000"/>
                <w:kern w:val="0"/>
                <w:sz w:val="24"/>
                <w:lang w:bidi="ar"/>
              </w:rPr>
              <w:t>43.9</w:t>
            </w:r>
          </w:p>
        </w:tc>
      </w:tr>
      <w:tr w14:paraId="60095167">
        <w:tblPrEx>
          <w:tblCellMar>
            <w:top w:w="0" w:type="dxa"/>
            <w:left w:w="108" w:type="dxa"/>
            <w:bottom w:w="0" w:type="dxa"/>
            <w:right w:w="108" w:type="dxa"/>
          </w:tblCellMar>
        </w:tblPrEx>
        <w:trPr>
          <w:trHeight w:val="420" w:hRule="atLeast"/>
          <w:jc w:val="center"/>
        </w:trPr>
        <w:tc>
          <w:tcPr>
            <w:tcW w:w="3082" w:type="dxa"/>
            <w:tcBorders>
              <w:top w:val="nil"/>
              <w:left w:val="single" w:color="auto" w:sz="4" w:space="0"/>
              <w:bottom w:val="single" w:color="auto" w:sz="4" w:space="0"/>
              <w:right w:val="single" w:color="auto" w:sz="4" w:space="0"/>
            </w:tcBorders>
            <w:vAlign w:val="center"/>
          </w:tcPr>
          <w:p w14:paraId="3E0ABEFE">
            <w:pPr>
              <w:widowControl/>
              <w:jc w:val="left"/>
              <w:textAlignment w:val="center"/>
              <w:rPr>
                <w:rFonts w:hint="eastAsia" w:ascii="宋体" w:hAnsi="宋体" w:cs="宋体"/>
                <w:color w:val="000000"/>
                <w:kern w:val="0"/>
                <w:szCs w:val="21"/>
              </w:rPr>
            </w:pPr>
            <w:r>
              <w:rPr>
                <w:rStyle w:val="31"/>
                <w:rFonts w:hint="default"/>
                <w:lang w:bidi="ar"/>
              </w:rPr>
              <w:t>财务费用</w:t>
            </w:r>
          </w:p>
        </w:tc>
        <w:tc>
          <w:tcPr>
            <w:tcW w:w="2160" w:type="dxa"/>
            <w:tcBorders>
              <w:top w:val="nil"/>
              <w:left w:val="nil"/>
              <w:bottom w:val="single" w:color="auto" w:sz="4" w:space="0"/>
              <w:right w:val="single" w:color="auto" w:sz="4" w:space="0"/>
            </w:tcBorders>
            <w:noWrap/>
            <w:vAlign w:val="center"/>
          </w:tcPr>
          <w:p w14:paraId="3D4DFD60">
            <w:pPr>
              <w:widowControl/>
              <w:jc w:val="right"/>
              <w:textAlignment w:val="center"/>
              <w:rPr>
                <w:color w:val="000000"/>
                <w:kern w:val="0"/>
                <w:szCs w:val="21"/>
              </w:rPr>
            </w:pPr>
            <w:r>
              <w:rPr>
                <w:color w:val="000000"/>
                <w:kern w:val="0"/>
                <w:szCs w:val="21"/>
                <w:lang w:bidi="ar"/>
              </w:rPr>
              <w:t>163,612,042.93</w:t>
            </w:r>
          </w:p>
        </w:tc>
        <w:tc>
          <w:tcPr>
            <w:tcW w:w="2040" w:type="dxa"/>
            <w:tcBorders>
              <w:top w:val="nil"/>
              <w:left w:val="nil"/>
              <w:bottom w:val="single" w:color="auto" w:sz="4" w:space="0"/>
              <w:right w:val="single" w:color="auto" w:sz="4" w:space="0"/>
            </w:tcBorders>
            <w:noWrap/>
            <w:vAlign w:val="center"/>
          </w:tcPr>
          <w:p w14:paraId="73FE2EC7">
            <w:pPr>
              <w:widowControl/>
              <w:jc w:val="right"/>
              <w:textAlignment w:val="center"/>
              <w:rPr>
                <w:color w:val="000000"/>
                <w:kern w:val="0"/>
                <w:szCs w:val="21"/>
              </w:rPr>
            </w:pPr>
            <w:r>
              <w:rPr>
                <w:color w:val="000000"/>
                <w:kern w:val="0"/>
                <w:szCs w:val="21"/>
                <w:lang w:bidi="ar"/>
              </w:rPr>
              <w:t>118,434,857.45</w:t>
            </w:r>
          </w:p>
        </w:tc>
        <w:tc>
          <w:tcPr>
            <w:tcW w:w="1056" w:type="dxa"/>
            <w:tcBorders>
              <w:top w:val="nil"/>
              <w:left w:val="nil"/>
              <w:bottom w:val="single" w:color="auto" w:sz="4" w:space="0"/>
              <w:right w:val="single" w:color="auto" w:sz="4" w:space="0"/>
            </w:tcBorders>
            <w:noWrap/>
            <w:vAlign w:val="center"/>
          </w:tcPr>
          <w:p w14:paraId="79557F80">
            <w:pPr>
              <w:widowControl/>
              <w:jc w:val="right"/>
              <w:textAlignment w:val="center"/>
              <w:rPr>
                <w:color w:val="000000"/>
                <w:kern w:val="0"/>
                <w:szCs w:val="21"/>
              </w:rPr>
            </w:pPr>
            <w:r>
              <w:rPr>
                <w:color w:val="000000"/>
                <w:kern w:val="0"/>
                <w:sz w:val="24"/>
                <w:lang w:bidi="ar"/>
              </w:rPr>
              <w:t>38.15</w:t>
            </w:r>
          </w:p>
        </w:tc>
      </w:tr>
      <w:tr w14:paraId="3F5C9464">
        <w:tblPrEx>
          <w:tblCellMar>
            <w:top w:w="0" w:type="dxa"/>
            <w:left w:w="108" w:type="dxa"/>
            <w:bottom w:w="0" w:type="dxa"/>
            <w:right w:w="108" w:type="dxa"/>
          </w:tblCellMar>
        </w:tblPrEx>
        <w:trPr>
          <w:trHeight w:val="420" w:hRule="atLeast"/>
          <w:jc w:val="center"/>
        </w:trPr>
        <w:tc>
          <w:tcPr>
            <w:tcW w:w="3082" w:type="dxa"/>
            <w:tcBorders>
              <w:top w:val="nil"/>
              <w:left w:val="single" w:color="auto" w:sz="4" w:space="0"/>
              <w:bottom w:val="single" w:color="auto" w:sz="4" w:space="0"/>
              <w:right w:val="single" w:color="auto" w:sz="4" w:space="0"/>
            </w:tcBorders>
            <w:vAlign w:val="center"/>
          </w:tcPr>
          <w:p w14:paraId="6084B8A7">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信用减值损失</w:t>
            </w:r>
          </w:p>
        </w:tc>
        <w:tc>
          <w:tcPr>
            <w:tcW w:w="2160" w:type="dxa"/>
            <w:tcBorders>
              <w:top w:val="nil"/>
              <w:left w:val="nil"/>
              <w:bottom w:val="single" w:color="auto" w:sz="4" w:space="0"/>
              <w:right w:val="single" w:color="auto" w:sz="4" w:space="0"/>
            </w:tcBorders>
            <w:noWrap/>
            <w:vAlign w:val="center"/>
          </w:tcPr>
          <w:p w14:paraId="5EACCF82">
            <w:pPr>
              <w:widowControl/>
              <w:jc w:val="right"/>
              <w:textAlignment w:val="center"/>
              <w:rPr>
                <w:color w:val="000000"/>
                <w:kern w:val="0"/>
                <w:szCs w:val="21"/>
              </w:rPr>
            </w:pPr>
            <w:r>
              <w:rPr>
                <w:color w:val="000000"/>
                <w:kern w:val="0"/>
                <w:szCs w:val="21"/>
                <w:lang w:bidi="ar"/>
              </w:rPr>
              <w:t>34,987.90</w:t>
            </w:r>
          </w:p>
        </w:tc>
        <w:tc>
          <w:tcPr>
            <w:tcW w:w="2040" w:type="dxa"/>
            <w:tcBorders>
              <w:top w:val="nil"/>
              <w:left w:val="nil"/>
              <w:bottom w:val="single" w:color="auto" w:sz="4" w:space="0"/>
              <w:right w:val="single" w:color="auto" w:sz="4" w:space="0"/>
            </w:tcBorders>
            <w:noWrap/>
            <w:vAlign w:val="center"/>
          </w:tcPr>
          <w:p w14:paraId="26A19D32">
            <w:pPr>
              <w:widowControl/>
              <w:jc w:val="right"/>
              <w:textAlignment w:val="center"/>
              <w:rPr>
                <w:color w:val="000000"/>
                <w:kern w:val="0"/>
                <w:szCs w:val="21"/>
              </w:rPr>
            </w:pPr>
            <w:r>
              <w:rPr>
                <w:color w:val="000000"/>
                <w:kern w:val="0"/>
                <w:szCs w:val="21"/>
                <w:lang w:bidi="ar"/>
              </w:rPr>
              <w:t>-1,273,623.04</w:t>
            </w:r>
          </w:p>
        </w:tc>
        <w:tc>
          <w:tcPr>
            <w:tcW w:w="1056" w:type="dxa"/>
            <w:tcBorders>
              <w:top w:val="nil"/>
              <w:left w:val="nil"/>
              <w:bottom w:val="single" w:color="auto" w:sz="4" w:space="0"/>
              <w:right w:val="single" w:color="auto" w:sz="4" w:space="0"/>
            </w:tcBorders>
            <w:noWrap/>
            <w:vAlign w:val="center"/>
          </w:tcPr>
          <w:p w14:paraId="21186161">
            <w:pPr>
              <w:widowControl/>
              <w:jc w:val="right"/>
              <w:textAlignment w:val="center"/>
              <w:rPr>
                <w:color w:val="000000"/>
                <w:kern w:val="0"/>
                <w:szCs w:val="21"/>
              </w:rPr>
            </w:pPr>
            <w:r>
              <w:rPr>
                <w:color w:val="000000"/>
                <w:kern w:val="0"/>
                <w:sz w:val="24"/>
                <w:lang w:bidi="ar"/>
              </w:rPr>
              <w:t>102.75</w:t>
            </w:r>
          </w:p>
        </w:tc>
      </w:tr>
      <w:tr w14:paraId="4EF2121D">
        <w:tblPrEx>
          <w:tblCellMar>
            <w:top w:w="0" w:type="dxa"/>
            <w:left w:w="108" w:type="dxa"/>
            <w:bottom w:w="0" w:type="dxa"/>
            <w:right w:w="108" w:type="dxa"/>
          </w:tblCellMar>
        </w:tblPrEx>
        <w:trPr>
          <w:trHeight w:val="420" w:hRule="atLeast"/>
          <w:jc w:val="center"/>
        </w:trPr>
        <w:tc>
          <w:tcPr>
            <w:tcW w:w="3082" w:type="dxa"/>
            <w:tcBorders>
              <w:top w:val="nil"/>
              <w:left w:val="single" w:color="auto" w:sz="4" w:space="0"/>
              <w:bottom w:val="single" w:color="auto" w:sz="4" w:space="0"/>
              <w:right w:val="single" w:color="auto" w:sz="4" w:space="0"/>
            </w:tcBorders>
            <w:vAlign w:val="center"/>
          </w:tcPr>
          <w:p w14:paraId="5DB5851C">
            <w:pPr>
              <w:widowControl/>
              <w:jc w:val="left"/>
              <w:textAlignment w:val="center"/>
              <w:rPr>
                <w:rFonts w:hint="eastAsia" w:ascii="宋体" w:hAnsi="宋体" w:cs="宋体"/>
                <w:color w:val="000000"/>
                <w:kern w:val="0"/>
                <w:szCs w:val="21"/>
              </w:rPr>
            </w:pPr>
            <w:r>
              <w:rPr>
                <w:rStyle w:val="31"/>
                <w:rFonts w:hint="default"/>
                <w:lang w:bidi="ar"/>
              </w:rPr>
              <w:t>资产减值损失</w:t>
            </w:r>
          </w:p>
        </w:tc>
        <w:tc>
          <w:tcPr>
            <w:tcW w:w="2160" w:type="dxa"/>
            <w:tcBorders>
              <w:top w:val="nil"/>
              <w:left w:val="nil"/>
              <w:bottom w:val="single" w:color="auto" w:sz="4" w:space="0"/>
              <w:right w:val="single" w:color="auto" w:sz="4" w:space="0"/>
            </w:tcBorders>
            <w:noWrap/>
            <w:vAlign w:val="center"/>
          </w:tcPr>
          <w:p w14:paraId="17C079A3">
            <w:pPr>
              <w:widowControl/>
              <w:jc w:val="right"/>
              <w:textAlignment w:val="center"/>
              <w:rPr>
                <w:color w:val="000000"/>
                <w:kern w:val="0"/>
                <w:szCs w:val="21"/>
              </w:rPr>
            </w:pPr>
            <w:r>
              <w:rPr>
                <w:color w:val="000000"/>
                <w:kern w:val="0"/>
                <w:szCs w:val="21"/>
                <w:lang w:bidi="ar"/>
              </w:rPr>
              <w:t>-839,691.92</w:t>
            </w:r>
          </w:p>
        </w:tc>
        <w:tc>
          <w:tcPr>
            <w:tcW w:w="2040" w:type="dxa"/>
            <w:tcBorders>
              <w:top w:val="nil"/>
              <w:left w:val="nil"/>
              <w:bottom w:val="single" w:color="auto" w:sz="4" w:space="0"/>
              <w:right w:val="single" w:color="auto" w:sz="4" w:space="0"/>
            </w:tcBorders>
            <w:noWrap/>
            <w:vAlign w:val="center"/>
          </w:tcPr>
          <w:p w14:paraId="4E071C5C">
            <w:pPr>
              <w:widowControl/>
              <w:jc w:val="right"/>
              <w:textAlignment w:val="center"/>
              <w:rPr>
                <w:color w:val="000000"/>
                <w:kern w:val="0"/>
                <w:szCs w:val="21"/>
              </w:rPr>
            </w:pPr>
            <w:r>
              <w:rPr>
                <w:color w:val="000000"/>
                <w:kern w:val="0"/>
                <w:szCs w:val="21"/>
                <w:lang w:bidi="ar"/>
              </w:rPr>
              <w:t>-465,952.82</w:t>
            </w:r>
          </w:p>
        </w:tc>
        <w:tc>
          <w:tcPr>
            <w:tcW w:w="1056" w:type="dxa"/>
            <w:tcBorders>
              <w:top w:val="nil"/>
              <w:left w:val="nil"/>
              <w:bottom w:val="single" w:color="auto" w:sz="4" w:space="0"/>
              <w:right w:val="single" w:color="auto" w:sz="4" w:space="0"/>
            </w:tcBorders>
            <w:noWrap/>
            <w:vAlign w:val="center"/>
          </w:tcPr>
          <w:p w14:paraId="01D7CD77">
            <w:pPr>
              <w:widowControl/>
              <w:jc w:val="right"/>
              <w:textAlignment w:val="center"/>
              <w:rPr>
                <w:color w:val="000000"/>
                <w:kern w:val="0"/>
                <w:szCs w:val="21"/>
              </w:rPr>
            </w:pPr>
            <w:r>
              <w:rPr>
                <w:color w:val="000000"/>
                <w:kern w:val="0"/>
                <w:sz w:val="24"/>
                <w:lang w:bidi="ar"/>
              </w:rPr>
              <w:t>-80.21</w:t>
            </w:r>
          </w:p>
        </w:tc>
      </w:tr>
      <w:tr w14:paraId="2EADE055">
        <w:tblPrEx>
          <w:tblCellMar>
            <w:top w:w="0" w:type="dxa"/>
            <w:left w:w="108" w:type="dxa"/>
            <w:bottom w:w="0" w:type="dxa"/>
            <w:right w:w="108" w:type="dxa"/>
          </w:tblCellMar>
        </w:tblPrEx>
        <w:trPr>
          <w:trHeight w:val="420" w:hRule="atLeast"/>
          <w:jc w:val="center"/>
        </w:trPr>
        <w:tc>
          <w:tcPr>
            <w:tcW w:w="3082" w:type="dxa"/>
            <w:tcBorders>
              <w:top w:val="nil"/>
              <w:left w:val="single" w:color="auto" w:sz="4" w:space="0"/>
              <w:bottom w:val="single" w:color="auto" w:sz="4" w:space="0"/>
              <w:right w:val="single" w:color="auto" w:sz="4" w:space="0"/>
            </w:tcBorders>
            <w:vAlign w:val="center"/>
          </w:tcPr>
          <w:p w14:paraId="37ADD21B">
            <w:pPr>
              <w:widowControl/>
              <w:jc w:val="left"/>
              <w:textAlignment w:val="center"/>
              <w:rPr>
                <w:rFonts w:hint="eastAsia" w:ascii="宋体" w:hAnsi="宋体" w:cs="宋体"/>
                <w:color w:val="000000"/>
                <w:kern w:val="0"/>
                <w:szCs w:val="21"/>
              </w:rPr>
            </w:pPr>
            <w:r>
              <w:rPr>
                <w:rStyle w:val="31"/>
                <w:rFonts w:hint="default"/>
                <w:lang w:bidi="ar"/>
              </w:rPr>
              <w:t>公允价值变动收益</w:t>
            </w:r>
          </w:p>
        </w:tc>
        <w:tc>
          <w:tcPr>
            <w:tcW w:w="2160" w:type="dxa"/>
            <w:tcBorders>
              <w:top w:val="nil"/>
              <w:left w:val="nil"/>
              <w:bottom w:val="single" w:color="auto" w:sz="4" w:space="0"/>
              <w:right w:val="single" w:color="auto" w:sz="4" w:space="0"/>
            </w:tcBorders>
            <w:noWrap/>
            <w:vAlign w:val="center"/>
          </w:tcPr>
          <w:p w14:paraId="2262320C">
            <w:pPr>
              <w:widowControl/>
              <w:jc w:val="right"/>
              <w:textAlignment w:val="center"/>
              <w:rPr>
                <w:color w:val="000000"/>
                <w:kern w:val="0"/>
                <w:szCs w:val="21"/>
              </w:rPr>
            </w:pPr>
            <w:r>
              <w:rPr>
                <w:color w:val="000000"/>
                <w:kern w:val="0"/>
                <w:szCs w:val="21"/>
                <w:lang w:bidi="ar"/>
              </w:rPr>
              <w:t>-464,365.40</w:t>
            </w:r>
          </w:p>
        </w:tc>
        <w:tc>
          <w:tcPr>
            <w:tcW w:w="2040" w:type="dxa"/>
            <w:tcBorders>
              <w:top w:val="nil"/>
              <w:left w:val="nil"/>
              <w:bottom w:val="single" w:color="auto" w:sz="4" w:space="0"/>
              <w:right w:val="single" w:color="auto" w:sz="4" w:space="0"/>
            </w:tcBorders>
            <w:noWrap/>
            <w:vAlign w:val="center"/>
          </w:tcPr>
          <w:p w14:paraId="2C26C0D7">
            <w:pPr>
              <w:widowControl/>
              <w:jc w:val="right"/>
              <w:textAlignment w:val="center"/>
              <w:rPr>
                <w:color w:val="000000"/>
                <w:kern w:val="0"/>
                <w:szCs w:val="21"/>
              </w:rPr>
            </w:pPr>
            <w:r>
              <w:rPr>
                <w:color w:val="000000"/>
                <w:kern w:val="0"/>
                <w:szCs w:val="21"/>
                <w:lang w:bidi="ar"/>
              </w:rPr>
              <w:t>-3,039,250.37</w:t>
            </w:r>
          </w:p>
        </w:tc>
        <w:tc>
          <w:tcPr>
            <w:tcW w:w="1056" w:type="dxa"/>
            <w:tcBorders>
              <w:top w:val="nil"/>
              <w:left w:val="nil"/>
              <w:bottom w:val="single" w:color="auto" w:sz="4" w:space="0"/>
              <w:right w:val="single" w:color="auto" w:sz="4" w:space="0"/>
            </w:tcBorders>
            <w:noWrap/>
            <w:vAlign w:val="center"/>
          </w:tcPr>
          <w:p w14:paraId="65C0C0B6">
            <w:pPr>
              <w:widowControl/>
              <w:jc w:val="right"/>
              <w:textAlignment w:val="center"/>
              <w:rPr>
                <w:color w:val="000000"/>
                <w:kern w:val="0"/>
                <w:szCs w:val="21"/>
              </w:rPr>
            </w:pPr>
            <w:r>
              <w:rPr>
                <w:color w:val="000000"/>
                <w:kern w:val="0"/>
                <w:sz w:val="24"/>
                <w:lang w:bidi="ar"/>
              </w:rPr>
              <w:t>84.72</w:t>
            </w:r>
          </w:p>
        </w:tc>
      </w:tr>
      <w:tr w14:paraId="1C51855B">
        <w:tblPrEx>
          <w:tblCellMar>
            <w:top w:w="0" w:type="dxa"/>
            <w:left w:w="108" w:type="dxa"/>
            <w:bottom w:w="0" w:type="dxa"/>
            <w:right w:w="108" w:type="dxa"/>
          </w:tblCellMar>
        </w:tblPrEx>
        <w:trPr>
          <w:trHeight w:val="420" w:hRule="atLeast"/>
          <w:jc w:val="center"/>
        </w:trPr>
        <w:tc>
          <w:tcPr>
            <w:tcW w:w="3082" w:type="dxa"/>
            <w:tcBorders>
              <w:top w:val="nil"/>
              <w:left w:val="single" w:color="auto" w:sz="4" w:space="0"/>
              <w:bottom w:val="single" w:color="auto" w:sz="4" w:space="0"/>
              <w:right w:val="single" w:color="auto" w:sz="4" w:space="0"/>
            </w:tcBorders>
            <w:vAlign w:val="center"/>
          </w:tcPr>
          <w:p w14:paraId="5F83EB07">
            <w:pPr>
              <w:widowControl/>
              <w:jc w:val="left"/>
              <w:textAlignment w:val="center"/>
              <w:rPr>
                <w:rFonts w:hint="eastAsia" w:ascii="宋体" w:hAnsi="宋体" w:cs="宋体"/>
                <w:color w:val="000000"/>
                <w:kern w:val="0"/>
                <w:szCs w:val="21"/>
              </w:rPr>
            </w:pPr>
            <w:r>
              <w:rPr>
                <w:rStyle w:val="31"/>
                <w:rFonts w:hint="default"/>
                <w:lang w:bidi="ar"/>
              </w:rPr>
              <w:t>投资收益</w:t>
            </w:r>
          </w:p>
        </w:tc>
        <w:tc>
          <w:tcPr>
            <w:tcW w:w="2160" w:type="dxa"/>
            <w:tcBorders>
              <w:top w:val="nil"/>
              <w:left w:val="nil"/>
              <w:bottom w:val="single" w:color="auto" w:sz="4" w:space="0"/>
              <w:right w:val="single" w:color="auto" w:sz="4" w:space="0"/>
            </w:tcBorders>
            <w:noWrap/>
            <w:vAlign w:val="center"/>
          </w:tcPr>
          <w:p w14:paraId="62DC56B0">
            <w:pPr>
              <w:widowControl/>
              <w:jc w:val="right"/>
              <w:textAlignment w:val="center"/>
              <w:rPr>
                <w:color w:val="000000"/>
                <w:kern w:val="0"/>
                <w:szCs w:val="21"/>
              </w:rPr>
            </w:pPr>
            <w:r>
              <w:rPr>
                <w:color w:val="000000"/>
                <w:kern w:val="0"/>
                <w:szCs w:val="21"/>
                <w:lang w:bidi="ar"/>
              </w:rPr>
              <w:t>21,390,680.52</w:t>
            </w:r>
          </w:p>
        </w:tc>
        <w:tc>
          <w:tcPr>
            <w:tcW w:w="2040" w:type="dxa"/>
            <w:tcBorders>
              <w:top w:val="nil"/>
              <w:left w:val="nil"/>
              <w:bottom w:val="single" w:color="auto" w:sz="4" w:space="0"/>
              <w:right w:val="single" w:color="auto" w:sz="4" w:space="0"/>
            </w:tcBorders>
            <w:noWrap/>
            <w:vAlign w:val="center"/>
          </w:tcPr>
          <w:p w14:paraId="39F69466">
            <w:pPr>
              <w:widowControl/>
              <w:jc w:val="right"/>
              <w:textAlignment w:val="center"/>
              <w:rPr>
                <w:color w:val="000000"/>
                <w:kern w:val="0"/>
                <w:szCs w:val="21"/>
              </w:rPr>
            </w:pPr>
            <w:r>
              <w:rPr>
                <w:color w:val="000000"/>
                <w:kern w:val="0"/>
                <w:szCs w:val="21"/>
                <w:lang w:bidi="ar"/>
              </w:rPr>
              <w:t>12,164,223.96</w:t>
            </w:r>
          </w:p>
        </w:tc>
        <w:tc>
          <w:tcPr>
            <w:tcW w:w="1056" w:type="dxa"/>
            <w:tcBorders>
              <w:top w:val="nil"/>
              <w:left w:val="nil"/>
              <w:bottom w:val="single" w:color="auto" w:sz="4" w:space="0"/>
              <w:right w:val="single" w:color="auto" w:sz="4" w:space="0"/>
            </w:tcBorders>
            <w:noWrap/>
            <w:vAlign w:val="center"/>
          </w:tcPr>
          <w:p w14:paraId="43A7ED90">
            <w:pPr>
              <w:widowControl/>
              <w:jc w:val="right"/>
              <w:textAlignment w:val="center"/>
              <w:rPr>
                <w:color w:val="000000"/>
                <w:kern w:val="0"/>
                <w:szCs w:val="21"/>
              </w:rPr>
            </w:pPr>
            <w:r>
              <w:rPr>
                <w:color w:val="000000"/>
                <w:kern w:val="0"/>
                <w:sz w:val="24"/>
                <w:lang w:bidi="ar"/>
              </w:rPr>
              <w:t>75.85</w:t>
            </w:r>
          </w:p>
        </w:tc>
      </w:tr>
      <w:tr w14:paraId="5C48DC3F">
        <w:tblPrEx>
          <w:tblCellMar>
            <w:top w:w="0" w:type="dxa"/>
            <w:left w:w="108" w:type="dxa"/>
            <w:bottom w:w="0" w:type="dxa"/>
            <w:right w:w="108" w:type="dxa"/>
          </w:tblCellMar>
        </w:tblPrEx>
        <w:trPr>
          <w:trHeight w:val="420" w:hRule="atLeast"/>
          <w:jc w:val="center"/>
        </w:trPr>
        <w:tc>
          <w:tcPr>
            <w:tcW w:w="3082" w:type="dxa"/>
            <w:tcBorders>
              <w:top w:val="nil"/>
              <w:left w:val="single" w:color="auto" w:sz="4" w:space="0"/>
              <w:bottom w:val="single" w:color="auto" w:sz="4" w:space="0"/>
              <w:right w:val="single" w:color="auto" w:sz="4" w:space="0"/>
            </w:tcBorders>
            <w:vAlign w:val="center"/>
          </w:tcPr>
          <w:p w14:paraId="7E75B7F1">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资产处置收益</w:t>
            </w:r>
          </w:p>
        </w:tc>
        <w:tc>
          <w:tcPr>
            <w:tcW w:w="2160" w:type="dxa"/>
            <w:tcBorders>
              <w:top w:val="nil"/>
              <w:left w:val="nil"/>
              <w:bottom w:val="single" w:color="auto" w:sz="4" w:space="0"/>
              <w:right w:val="single" w:color="auto" w:sz="4" w:space="0"/>
            </w:tcBorders>
            <w:noWrap/>
            <w:vAlign w:val="center"/>
          </w:tcPr>
          <w:p w14:paraId="051E881F">
            <w:pPr>
              <w:widowControl/>
              <w:jc w:val="right"/>
              <w:textAlignment w:val="center"/>
              <w:rPr>
                <w:color w:val="000000"/>
                <w:kern w:val="0"/>
                <w:szCs w:val="21"/>
              </w:rPr>
            </w:pPr>
            <w:r>
              <w:rPr>
                <w:color w:val="000000"/>
                <w:kern w:val="0"/>
                <w:szCs w:val="21"/>
                <w:lang w:bidi="ar"/>
              </w:rPr>
              <w:t>48,786.07</w:t>
            </w:r>
          </w:p>
        </w:tc>
        <w:tc>
          <w:tcPr>
            <w:tcW w:w="2040" w:type="dxa"/>
            <w:tcBorders>
              <w:top w:val="nil"/>
              <w:left w:val="nil"/>
              <w:bottom w:val="single" w:color="auto" w:sz="4" w:space="0"/>
              <w:right w:val="single" w:color="auto" w:sz="4" w:space="0"/>
            </w:tcBorders>
            <w:noWrap/>
            <w:vAlign w:val="center"/>
          </w:tcPr>
          <w:p w14:paraId="7F58D291">
            <w:pPr>
              <w:widowControl/>
              <w:jc w:val="right"/>
              <w:textAlignment w:val="center"/>
              <w:rPr>
                <w:color w:val="000000"/>
                <w:kern w:val="0"/>
                <w:szCs w:val="21"/>
              </w:rPr>
            </w:pPr>
            <w:r>
              <w:rPr>
                <w:color w:val="000000"/>
                <w:kern w:val="0"/>
                <w:szCs w:val="21"/>
                <w:lang w:bidi="ar"/>
              </w:rPr>
              <w:t>18,696.99</w:t>
            </w:r>
          </w:p>
        </w:tc>
        <w:tc>
          <w:tcPr>
            <w:tcW w:w="1056" w:type="dxa"/>
            <w:tcBorders>
              <w:top w:val="nil"/>
              <w:left w:val="nil"/>
              <w:bottom w:val="single" w:color="auto" w:sz="4" w:space="0"/>
              <w:right w:val="single" w:color="auto" w:sz="4" w:space="0"/>
            </w:tcBorders>
            <w:noWrap/>
            <w:vAlign w:val="center"/>
          </w:tcPr>
          <w:p w14:paraId="0D93058E">
            <w:pPr>
              <w:widowControl/>
              <w:jc w:val="right"/>
              <w:textAlignment w:val="center"/>
              <w:rPr>
                <w:color w:val="000000"/>
                <w:kern w:val="0"/>
                <w:szCs w:val="21"/>
              </w:rPr>
            </w:pPr>
            <w:r>
              <w:rPr>
                <w:color w:val="000000"/>
                <w:kern w:val="0"/>
                <w:sz w:val="24"/>
                <w:lang w:bidi="ar"/>
              </w:rPr>
              <w:t>160.93</w:t>
            </w:r>
          </w:p>
        </w:tc>
      </w:tr>
      <w:tr w14:paraId="0A0B7D81">
        <w:tblPrEx>
          <w:tblCellMar>
            <w:top w:w="0" w:type="dxa"/>
            <w:left w:w="108" w:type="dxa"/>
            <w:bottom w:w="0" w:type="dxa"/>
            <w:right w:w="108" w:type="dxa"/>
          </w:tblCellMar>
        </w:tblPrEx>
        <w:trPr>
          <w:trHeight w:val="420" w:hRule="atLeast"/>
          <w:jc w:val="center"/>
        </w:trPr>
        <w:tc>
          <w:tcPr>
            <w:tcW w:w="3082" w:type="dxa"/>
            <w:tcBorders>
              <w:top w:val="nil"/>
              <w:left w:val="single" w:color="auto" w:sz="4" w:space="0"/>
              <w:bottom w:val="single" w:color="auto" w:sz="4" w:space="0"/>
              <w:right w:val="single" w:color="auto" w:sz="4" w:space="0"/>
            </w:tcBorders>
            <w:vAlign w:val="center"/>
          </w:tcPr>
          <w:p w14:paraId="7236378C">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其他收益</w:t>
            </w:r>
          </w:p>
        </w:tc>
        <w:tc>
          <w:tcPr>
            <w:tcW w:w="2160" w:type="dxa"/>
            <w:tcBorders>
              <w:top w:val="nil"/>
              <w:left w:val="nil"/>
              <w:bottom w:val="single" w:color="auto" w:sz="4" w:space="0"/>
              <w:right w:val="single" w:color="auto" w:sz="4" w:space="0"/>
            </w:tcBorders>
            <w:noWrap/>
            <w:vAlign w:val="center"/>
          </w:tcPr>
          <w:p w14:paraId="24FDEDD2">
            <w:pPr>
              <w:widowControl/>
              <w:jc w:val="right"/>
              <w:textAlignment w:val="center"/>
              <w:rPr>
                <w:color w:val="000000"/>
                <w:kern w:val="0"/>
                <w:szCs w:val="21"/>
              </w:rPr>
            </w:pPr>
            <w:r>
              <w:rPr>
                <w:color w:val="000000"/>
                <w:kern w:val="0"/>
                <w:szCs w:val="21"/>
                <w:lang w:bidi="ar"/>
              </w:rPr>
              <w:t>25,151,468.89</w:t>
            </w:r>
          </w:p>
        </w:tc>
        <w:tc>
          <w:tcPr>
            <w:tcW w:w="2040" w:type="dxa"/>
            <w:tcBorders>
              <w:top w:val="nil"/>
              <w:left w:val="nil"/>
              <w:bottom w:val="single" w:color="auto" w:sz="4" w:space="0"/>
              <w:right w:val="single" w:color="auto" w:sz="4" w:space="0"/>
            </w:tcBorders>
            <w:noWrap/>
            <w:vAlign w:val="center"/>
          </w:tcPr>
          <w:p w14:paraId="3C9963C9">
            <w:pPr>
              <w:widowControl/>
              <w:jc w:val="right"/>
              <w:textAlignment w:val="center"/>
              <w:rPr>
                <w:color w:val="000000"/>
                <w:kern w:val="0"/>
                <w:szCs w:val="21"/>
              </w:rPr>
            </w:pPr>
            <w:r>
              <w:rPr>
                <w:color w:val="000000"/>
                <w:kern w:val="0"/>
                <w:szCs w:val="21"/>
                <w:lang w:bidi="ar"/>
              </w:rPr>
              <w:t>38,601,302.48</w:t>
            </w:r>
          </w:p>
        </w:tc>
        <w:tc>
          <w:tcPr>
            <w:tcW w:w="1056" w:type="dxa"/>
            <w:tcBorders>
              <w:top w:val="nil"/>
              <w:left w:val="nil"/>
              <w:bottom w:val="single" w:color="auto" w:sz="4" w:space="0"/>
              <w:right w:val="single" w:color="auto" w:sz="4" w:space="0"/>
            </w:tcBorders>
            <w:noWrap/>
            <w:vAlign w:val="center"/>
          </w:tcPr>
          <w:p w14:paraId="6395EF55">
            <w:pPr>
              <w:widowControl/>
              <w:jc w:val="right"/>
              <w:textAlignment w:val="center"/>
              <w:rPr>
                <w:color w:val="000000"/>
                <w:kern w:val="0"/>
                <w:szCs w:val="21"/>
              </w:rPr>
            </w:pPr>
            <w:r>
              <w:rPr>
                <w:color w:val="000000"/>
                <w:kern w:val="0"/>
                <w:sz w:val="24"/>
                <w:lang w:bidi="ar"/>
              </w:rPr>
              <w:t>-34.84</w:t>
            </w:r>
          </w:p>
        </w:tc>
      </w:tr>
      <w:tr w14:paraId="365B5D8A">
        <w:tblPrEx>
          <w:tblCellMar>
            <w:top w:w="0" w:type="dxa"/>
            <w:left w:w="108" w:type="dxa"/>
            <w:bottom w:w="0" w:type="dxa"/>
            <w:right w:w="108" w:type="dxa"/>
          </w:tblCellMar>
        </w:tblPrEx>
        <w:trPr>
          <w:trHeight w:val="420" w:hRule="atLeast"/>
          <w:jc w:val="center"/>
        </w:trPr>
        <w:tc>
          <w:tcPr>
            <w:tcW w:w="3082" w:type="dxa"/>
            <w:tcBorders>
              <w:top w:val="nil"/>
              <w:left w:val="single" w:color="auto" w:sz="4" w:space="0"/>
              <w:bottom w:val="single" w:color="auto" w:sz="4" w:space="0"/>
              <w:right w:val="single" w:color="auto" w:sz="4" w:space="0"/>
            </w:tcBorders>
            <w:vAlign w:val="center"/>
          </w:tcPr>
          <w:p w14:paraId="75DA675F">
            <w:pPr>
              <w:widowControl/>
              <w:jc w:val="left"/>
              <w:textAlignment w:val="center"/>
              <w:rPr>
                <w:rFonts w:hint="eastAsia" w:ascii="宋体" w:hAnsi="宋体" w:cs="宋体"/>
                <w:color w:val="000000"/>
                <w:kern w:val="0"/>
                <w:szCs w:val="21"/>
              </w:rPr>
            </w:pPr>
            <w:r>
              <w:rPr>
                <w:rStyle w:val="31"/>
                <w:rFonts w:hint="default"/>
                <w:lang w:bidi="ar"/>
              </w:rPr>
              <w:t>营业外收入</w:t>
            </w:r>
          </w:p>
        </w:tc>
        <w:tc>
          <w:tcPr>
            <w:tcW w:w="2160" w:type="dxa"/>
            <w:tcBorders>
              <w:top w:val="nil"/>
              <w:left w:val="nil"/>
              <w:bottom w:val="single" w:color="auto" w:sz="4" w:space="0"/>
              <w:right w:val="single" w:color="auto" w:sz="4" w:space="0"/>
            </w:tcBorders>
            <w:noWrap/>
            <w:vAlign w:val="center"/>
          </w:tcPr>
          <w:p w14:paraId="56BC997A">
            <w:pPr>
              <w:widowControl/>
              <w:jc w:val="right"/>
              <w:textAlignment w:val="center"/>
              <w:rPr>
                <w:color w:val="000000"/>
                <w:kern w:val="0"/>
                <w:szCs w:val="21"/>
              </w:rPr>
            </w:pPr>
            <w:r>
              <w:rPr>
                <w:color w:val="000000"/>
                <w:kern w:val="0"/>
                <w:szCs w:val="21"/>
                <w:lang w:bidi="ar"/>
              </w:rPr>
              <w:t>2,234,504.91</w:t>
            </w:r>
          </w:p>
        </w:tc>
        <w:tc>
          <w:tcPr>
            <w:tcW w:w="2040" w:type="dxa"/>
            <w:tcBorders>
              <w:top w:val="nil"/>
              <w:left w:val="nil"/>
              <w:bottom w:val="single" w:color="auto" w:sz="4" w:space="0"/>
              <w:right w:val="single" w:color="auto" w:sz="4" w:space="0"/>
            </w:tcBorders>
            <w:noWrap/>
            <w:vAlign w:val="center"/>
          </w:tcPr>
          <w:p w14:paraId="1C58C1CD">
            <w:pPr>
              <w:widowControl/>
              <w:jc w:val="right"/>
              <w:textAlignment w:val="center"/>
              <w:rPr>
                <w:color w:val="000000"/>
                <w:kern w:val="0"/>
                <w:szCs w:val="21"/>
              </w:rPr>
            </w:pPr>
            <w:r>
              <w:rPr>
                <w:color w:val="000000"/>
                <w:kern w:val="0"/>
                <w:szCs w:val="21"/>
                <w:lang w:bidi="ar"/>
              </w:rPr>
              <w:t>2,318,818.80</w:t>
            </w:r>
          </w:p>
        </w:tc>
        <w:tc>
          <w:tcPr>
            <w:tcW w:w="1056" w:type="dxa"/>
            <w:tcBorders>
              <w:top w:val="nil"/>
              <w:left w:val="nil"/>
              <w:bottom w:val="single" w:color="auto" w:sz="4" w:space="0"/>
              <w:right w:val="single" w:color="auto" w:sz="4" w:space="0"/>
            </w:tcBorders>
            <w:noWrap/>
            <w:vAlign w:val="center"/>
          </w:tcPr>
          <w:p w14:paraId="140F9F35">
            <w:pPr>
              <w:widowControl/>
              <w:jc w:val="right"/>
              <w:textAlignment w:val="center"/>
              <w:rPr>
                <w:color w:val="000000"/>
                <w:kern w:val="0"/>
                <w:szCs w:val="21"/>
              </w:rPr>
            </w:pPr>
            <w:r>
              <w:rPr>
                <w:color w:val="000000"/>
                <w:kern w:val="0"/>
                <w:sz w:val="24"/>
                <w:lang w:bidi="ar"/>
              </w:rPr>
              <w:t>-3.64</w:t>
            </w:r>
          </w:p>
        </w:tc>
      </w:tr>
      <w:tr w14:paraId="55EEC5D9">
        <w:tblPrEx>
          <w:tblCellMar>
            <w:top w:w="0" w:type="dxa"/>
            <w:left w:w="108" w:type="dxa"/>
            <w:bottom w:w="0" w:type="dxa"/>
            <w:right w:w="108" w:type="dxa"/>
          </w:tblCellMar>
        </w:tblPrEx>
        <w:trPr>
          <w:trHeight w:val="420" w:hRule="atLeast"/>
          <w:jc w:val="center"/>
        </w:trPr>
        <w:tc>
          <w:tcPr>
            <w:tcW w:w="3082" w:type="dxa"/>
            <w:tcBorders>
              <w:top w:val="nil"/>
              <w:left w:val="single" w:color="auto" w:sz="4" w:space="0"/>
              <w:bottom w:val="single" w:color="auto" w:sz="4" w:space="0"/>
              <w:right w:val="single" w:color="auto" w:sz="4" w:space="0"/>
            </w:tcBorders>
            <w:vAlign w:val="center"/>
          </w:tcPr>
          <w:p w14:paraId="6A205431">
            <w:pPr>
              <w:widowControl/>
              <w:jc w:val="left"/>
              <w:textAlignment w:val="center"/>
              <w:rPr>
                <w:rFonts w:hint="eastAsia" w:ascii="宋体" w:hAnsi="宋体" w:cs="宋体"/>
                <w:color w:val="000000"/>
                <w:kern w:val="0"/>
                <w:szCs w:val="21"/>
              </w:rPr>
            </w:pPr>
            <w:r>
              <w:rPr>
                <w:rStyle w:val="31"/>
                <w:rFonts w:hint="default"/>
                <w:lang w:bidi="ar"/>
              </w:rPr>
              <w:t>营业外支出</w:t>
            </w:r>
          </w:p>
        </w:tc>
        <w:tc>
          <w:tcPr>
            <w:tcW w:w="2160" w:type="dxa"/>
            <w:tcBorders>
              <w:top w:val="nil"/>
              <w:left w:val="nil"/>
              <w:bottom w:val="single" w:color="auto" w:sz="4" w:space="0"/>
              <w:right w:val="single" w:color="auto" w:sz="4" w:space="0"/>
            </w:tcBorders>
            <w:noWrap/>
            <w:vAlign w:val="center"/>
          </w:tcPr>
          <w:p w14:paraId="754ACC91">
            <w:pPr>
              <w:widowControl/>
              <w:jc w:val="right"/>
              <w:textAlignment w:val="center"/>
              <w:rPr>
                <w:color w:val="000000"/>
                <w:kern w:val="0"/>
                <w:szCs w:val="21"/>
              </w:rPr>
            </w:pPr>
            <w:r>
              <w:rPr>
                <w:color w:val="000000"/>
                <w:kern w:val="0"/>
                <w:szCs w:val="21"/>
                <w:lang w:bidi="ar"/>
              </w:rPr>
              <w:t>5,444,741.56</w:t>
            </w:r>
          </w:p>
        </w:tc>
        <w:tc>
          <w:tcPr>
            <w:tcW w:w="2040" w:type="dxa"/>
            <w:tcBorders>
              <w:top w:val="nil"/>
              <w:left w:val="nil"/>
              <w:bottom w:val="single" w:color="auto" w:sz="4" w:space="0"/>
              <w:right w:val="single" w:color="auto" w:sz="4" w:space="0"/>
            </w:tcBorders>
            <w:noWrap/>
            <w:vAlign w:val="center"/>
          </w:tcPr>
          <w:p w14:paraId="5196BEAD">
            <w:pPr>
              <w:widowControl/>
              <w:jc w:val="right"/>
              <w:textAlignment w:val="center"/>
              <w:rPr>
                <w:color w:val="000000"/>
                <w:kern w:val="0"/>
                <w:szCs w:val="21"/>
              </w:rPr>
            </w:pPr>
            <w:r>
              <w:rPr>
                <w:color w:val="000000"/>
                <w:kern w:val="0"/>
                <w:szCs w:val="21"/>
                <w:lang w:bidi="ar"/>
              </w:rPr>
              <w:t>7,646,698.32</w:t>
            </w:r>
          </w:p>
        </w:tc>
        <w:tc>
          <w:tcPr>
            <w:tcW w:w="1056" w:type="dxa"/>
            <w:tcBorders>
              <w:top w:val="nil"/>
              <w:left w:val="nil"/>
              <w:bottom w:val="single" w:color="auto" w:sz="4" w:space="0"/>
              <w:right w:val="single" w:color="auto" w:sz="4" w:space="0"/>
            </w:tcBorders>
            <w:noWrap/>
            <w:vAlign w:val="center"/>
          </w:tcPr>
          <w:p w14:paraId="1F1DD12F">
            <w:pPr>
              <w:widowControl/>
              <w:jc w:val="right"/>
              <w:textAlignment w:val="center"/>
              <w:rPr>
                <w:color w:val="000000"/>
                <w:kern w:val="0"/>
                <w:szCs w:val="21"/>
              </w:rPr>
            </w:pPr>
            <w:r>
              <w:rPr>
                <w:color w:val="000000"/>
                <w:kern w:val="0"/>
                <w:sz w:val="24"/>
                <w:lang w:bidi="ar"/>
              </w:rPr>
              <w:t>-28.8</w:t>
            </w:r>
          </w:p>
        </w:tc>
      </w:tr>
      <w:tr w14:paraId="5C5AEE92">
        <w:tblPrEx>
          <w:tblCellMar>
            <w:top w:w="0" w:type="dxa"/>
            <w:left w:w="108" w:type="dxa"/>
            <w:bottom w:w="0" w:type="dxa"/>
            <w:right w:w="108" w:type="dxa"/>
          </w:tblCellMar>
        </w:tblPrEx>
        <w:trPr>
          <w:trHeight w:val="420" w:hRule="atLeast"/>
          <w:jc w:val="center"/>
        </w:trPr>
        <w:tc>
          <w:tcPr>
            <w:tcW w:w="3082" w:type="dxa"/>
            <w:tcBorders>
              <w:top w:val="nil"/>
              <w:left w:val="single" w:color="auto" w:sz="4" w:space="0"/>
              <w:bottom w:val="single" w:color="auto" w:sz="4" w:space="0"/>
              <w:right w:val="single" w:color="auto" w:sz="4" w:space="0"/>
            </w:tcBorders>
            <w:vAlign w:val="center"/>
          </w:tcPr>
          <w:p w14:paraId="44290480">
            <w:pPr>
              <w:widowControl/>
              <w:jc w:val="left"/>
              <w:textAlignment w:val="center"/>
              <w:rPr>
                <w:rFonts w:hint="eastAsia" w:ascii="宋体" w:hAnsi="宋体" w:cs="宋体"/>
                <w:color w:val="000000"/>
                <w:kern w:val="0"/>
                <w:szCs w:val="21"/>
              </w:rPr>
            </w:pPr>
            <w:r>
              <w:rPr>
                <w:rStyle w:val="31"/>
                <w:rFonts w:hint="default"/>
                <w:lang w:bidi="ar"/>
              </w:rPr>
              <w:t>所得税费用</w:t>
            </w:r>
          </w:p>
        </w:tc>
        <w:tc>
          <w:tcPr>
            <w:tcW w:w="2160" w:type="dxa"/>
            <w:tcBorders>
              <w:top w:val="nil"/>
              <w:left w:val="nil"/>
              <w:bottom w:val="single" w:color="auto" w:sz="4" w:space="0"/>
              <w:right w:val="single" w:color="auto" w:sz="4" w:space="0"/>
            </w:tcBorders>
            <w:noWrap/>
            <w:vAlign w:val="center"/>
          </w:tcPr>
          <w:p w14:paraId="749E8733">
            <w:pPr>
              <w:widowControl/>
              <w:jc w:val="right"/>
              <w:textAlignment w:val="center"/>
              <w:rPr>
                <w:color w:val="000000"/>
                <w:kern w:val="0"/>
                <w:szCs w:val="21"/>
              </w:rPr>
            </w:pPr>
            <w:r>
              <w:rPr>
                <w:color w:val="000000"/>
                <w:kern w:val="0"/>
                <w:szCs w:val="21"/>
                <w:lang w:bidi="ar"/>
              </w:rPr>
              <w:t>774,510.11</w:t>
            </w:r>
          </w:p>
        </w:tc>
        <w:tc>
          <w:tcPr>
            <w:tcW w:w="2040" w:type="dxa"/>
            <w:tcBorders>
              <w:top w:val="nil"/>
              <w:left w:val="nil"/>
              <w:bottom w:val="single" w:color="auto" w:sz="4" w:space="0"/>
              <w:right w:val="single" w:color="auto" w:sz="4" w:space="0"/>
            </w:tcBorders>
            <w:noWrap/>
            <w:vAlign w:val="center"/>
          </w:tcPr>
          <w:p w14:paraId="00B5B487">
            <w:pPr>
              <w:widowControl/>
              <w:jc w:val="right"/>
              <w:textAlignment w:val="center"/>
              <w:rPr>
                <w:color w:val="000000"/>
                <w:kern w:val="0"/>
                <w:szCs w:val="21"/>
              </w:rPr>
            </w:pPr>
            <w:r>
              <w:rPr>
                <w:color w:val="000000"/>
                <w:kern w:val="0"/>
                <w:szCs w:val="21"/>
                <w:lang w:bidi="ar"/>
              </w:rPr>
              <w:t>-569,115.41</w:t>
            </w:r>
          </w:p>
        </w:tc>
        <w:tc>
          <w:tcPr>
            <w:tcW w:w="1056" w:type="dxa"/>
            <w:tcBorders>
              <w:top w:val="nil"/>
              <w:left w:val="nil"/>
              <w:bottom w:val="single" w:color="auto" w:sz="4" w:space="0"/>
              <w:right w:val="single" w:color="auto" w:sz="4" w:space="0"/>
            </w:tcBorders>
            <w:noWrap/>
            <w:vAlign w:val="center"/>
          </w:tcPr>
          <w:p w14:paraId="55DB6267">
            <w:pPr>
              <w:widowControl/>
              <w:jc w:val="right"/>
              <w:textAlignment w:val="center"/>
              <w:rPr>
                <w:color w:val="000000"/>
                <w:kern w:val="0"/>
                <w:szCs w:val="21"/>
              </w:rPr>
            </w:pPr>
            <w:r>
              <w:rPr>
                <w:color w:val="000000"/>
                <w:kern w:val="0"/>
                <w:sz w:val="24"/>
                <w:lang w:bidi="ar"/>
              </w:rPr>
              <w:t>236.09</w:t>
            </w:r>
          </w:p>
        </w:tc>
      </w:tr>
      <w:tr w14:paraId="7FB2FF6E">
        <w:tblPrEx>
          <w:tblCellMar>
            <w:top w:w="0" w:type="dxa"/>
            <w:left w:w="108" w:type="dxa"/>
            <w:bottom w:w="0" w:type="dxa"/>
            <w:right w:w="108" w:type="dxa"/>
          </w:tblCellMar>
        </w:tblPrEx>
        <w:trPr>
          <w:trHeight w:val="456" w:hRule="atLeast"/>
          <w:jc w:val="center"/>
        </w:trPr>
        <w:tc>
          <w:tcPr>
            <w:tcW w:w="3082" w:type="dxa"/>
            <w:tcBorders>
              <w:top w:val="nil"/>
              <w:left w:val="single" w:color="auto" w:sz="4" w:space="0"/>
              <w:bottom w:val="single" w:color="auto" w:sz="4" w:space="0"/>
              <w:right w:val="single" w:color="auto" w:sz="4" w:space="0"/>
            </w:tcBorders>
            <w:vAlign w:val="center"/>
          </w:tcPr>
          <w:p w14:paraId="277F4496">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归属于母公司所有者的净利润</w:t>
            </w:r>
          </w:p>
        </w:tc>
        <w:tc>
          <w:tcPr>
            <w:tcW w:w="2160" w:type="dxa"/>
            <w:tcBorders>
              <w:top w:val="nil"/>
              <w:left w:val="nil"/>
              <w:bottom w:val="single" w:color="auto" w:sz="4" w:space="0"/>
              <w:right w:val="single" w:color="auto" w:sz="4" w:space="0"/>
            </w:tcBorders>
            <w:noWrap/>
            <w:vAlign w:val="center"/>
          </w:tcPr>
          <w:p w14:paraId="5876F765">
            <w:pPr>
              <w:widowControl/>
              <w:jc w:val="right"/>
              <w:textAlignment w:val="center"/>
              <w:rPr>
                <w:color w:val="000000"/>
                <w:kern w:val="0"/>
                <w:szCs w:val="21"/>
              </w:rPr>
            </w:pPr>
            <w:r>
              <w:rPr>
                <w:color w:val="000000"/>
                <w:kern w:val="0"/>
                <w:szCs w:val="21"/>
                <w:lang w:bidi="ar"/>
              </w:rPr>
              <w:t>29,872,348.03</w:t>
            </w:r>
          </w:p>
        </w:tc>
        <w:tc>
          <w:tcPr>
            <w:tcW w:w="2040" w:type="dxa"/>
            <w:tcBorders>
              <w:top w:val="nil"/>
              <w:left w:val="nil"/>
              <w:bottom w:val="single" w:color="auto" w:sz="4" w:space="0"/>
              <w:right w:val="single" w:color="auto" w:sz="4" w:space="0"/>
            </w:tcBorders>
            <w:noWrap/>
            <w:vAlign w:val="center"/>
          </w:tcPr>
          <w:p w14:paraId="66FDD3C7">
            <w:pPr>
              <w:widowControl/>
              <w:jc w:val="right"/>
              <w:textAlignment w:val="center"/>
              <w:rPr>
                <w:color w:val="000000"/>
                <w:kern w:val="0"/>
                <w:szCs w:val="21"/>
              </w:rPr>
            </w:pPr>
            <w:r>
              <w:rPr>
                <w:color w:val="000000"/>
                <w:kern w:val="0"/>
                <w:szCs w:val="21"/>
                <w:lang w:bidi="ar"/>
              </w:rPr>
              <w:t>43,427,553.57</w:t>
            </w:r>
          </w:p>
        </w:tc>
        <w:tc>
          <w:tcPr>
            <w:tcW w:w="1056" w:type="dxa"/>
            <w:tcBorders>
              <w:top w:val="nil"/>
              <w:left w:val="nil"/>
              <w:bottom w:val="single" w:color="auto" w:sz="4" w:space="0"/>
              <w:right w:val="single" w:color="auto" w:sz="4" w:space="0"/>
            </w:tcBorders>
            <w:noWrap/>
            <w:vAlign w:val="center"/>
          </w:tcPr>
          <w:p w14:paraId="32B25D53">
            <w:pPr>
              <w:widowControl/>
              <w:jc w:val="right"/>
              <w:textAlignment w:val="center"/>
              <w:rPr>
                <w:color w:val="000000"/>
                <w:kern w:val="0"/>
                <w:szCs w:val="21"/>
              </w:rPr>
            </w:pPr>
            <w:r>
              <w:rPr>
                <w:color w:val="000000"/>
                <w:kern w:val="0"/>
                <w:sz w:val="24"/>
                <w:lang w:bidi="ar"/>
              </w:rPr>
              <w:t>-31.21</w:t>
            </w:r>
          </w:p>
        </w:tc>
      </w:tr>
      <w:tr w14:paraId="31C542C7">
        <w:tblPrEx>
          <w:tblCellMar>
            <w:top w:w="0" w:type="dxa"/>
            <w:left w:w="108" w:type="dxa"/>
            <w:bottom w:w="0" w:type="dxa"/>
            <w:right w:w="108" w:type="dxa"/>
          </w:tblCellMar>
        </w:tblPrEx>
        <w:trPr>
          <w:trHeight w:val="420" w:hRule="atLeast"/>
          <w:jc w:val="center"/>
        </w:trPr>
        <w:tc>
          <w:tcPr>
            <w:tcW w:w="3082" w:type="dxa"/>
            <w:tcBorders>
              <w:top w:val="nil"/>
              <w:left w:val="single" w:color="auto" w:sz="4" w:space="0"/>
              <w:bottom w:val="single" w:color="auto" w:sz="4" w:space="0"/>
              <w:right w:val="single" w:color="auto" w:sz="4" w:space="0"/>
            </w:tcBorders>
            <w:vAlign w:val="center"/>
          </w:tcPr>
          <w:p w14:paraId="10FE2DB4">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 xml:space="preserve">  </w:t>
            </w:r>
            <w:r>
              <w:rPr>
                <w:rStyle w:val="31"/>
                <w:rFonts w:hint="default"/>
                <w:lang w:bidi="ar"/>
              </w:rPr>
              <w:t>少数股东损益</w:t>
            </w:r>
          </w:p>
        </w:tc>
        <w:tc>
          <w:tcPr>
            <w:tcW w:w="2160" w:type="dxa"/>
            <w:tcBorders>
              <w:top w:val="nil"/>
              <w:left w:val="nil"/>
              <w:bottom w:val="single" w:color="auto" w:sz="4" w:space="0"/>
              <w:right w:val="single" w:color="auto" w:sz="4" w:space="0"/>
            </w:tcBorders>
            <w:noWrap/>
            <w:vAlign w:val="center"/>
          </w:tcPr>
          <w:p w14:paraId="022C06EB">
            <w:pPr>
              <w:widowControl/>
              <w:jc w:val="right"/>
              <w:textAlignment w:val="center"/>
              <w:rPr>
                <w:color w:val="000000"/>
                <w:kern w:val="0"/>
                <w:szCs w:val="21"/>
              </w:rPr>
            </w:pPr>
            <w:r>
              <w:rPr>
                <w:color w:val="000000"/>
                <w:kern w:val="0"/>
                <w:szCs w:val="21"/>
                <w:lang w:bidi="ar"/>
              </w:rPr>
              <w:t>2,301,233.67</w:t>
            </w:r>
          </w:p>
        </w:tc>
        <w:tc>
          <w:tcPr>
            <w:tcW w:w="2040" w:type="dxa"/>
            <w:tcBorders>
              <w:top w:val="nil"/>
              <w:left w:val="nil"/>
              <w:bottom w:val="single" w:color="auto" w:sz="4" w:space="0"/>
              <w:right w:val="single" w:color="auto" w:sz="4" w:space="0"/>
            </w:tcBorders>
            <w:noWrap/>
            <w:vAlign w:val="center"/>
          </w:tcPr>
          <w:p w14:paraId="6E122582">
            <w:pPr>
              <w:widowControl/>
              <w:jc w:val="right"/>
              <w:textAlignment w:val="center"/>
              <w:rPr>
                <w:color w:val="000000"/>
                <w:kern w:val="0"/>
                <w:szCs w:val="21"/>
              </w:rPr>
            </w:pPr>
            <w:r>
              <w:rPr>
                <w:color w:val="000000"/>
                <w:kern w:val="0"/>
                <w:szCs w:val="21"/>
                <w:lang w:bidi="ar"/>
              </w:rPr>
              <w:t>2,378,284.55</w:t>
            </w:r>
          </w:p>
        </w:tc>
        <w:tc>
          <w:tcPr>
            <w:tcW w:w="1056" w:type="dxa"/>
            <w:tcBorders>
              <w:top w:val="nil"/>
              <w:left w:val="nil"/>
              <w:bottom w:val="single" w:color="auto" w:sz="4" w:space="0"/>
              <w:right w:val="single" w:color="auto" w:sz="4" w:space="0"/>
            </w:tcBorders>
            <w:noWrap/>
            <w:vAlign w:val="center"/>
          </w:tcPr>
          <w:p w14:paraId="4935D8A6">
            <w:pPr>
              <w:widowControl/>
              <w:jc w:val="right"/>
              <w:textAlignment w:val="center"/>
              <w:rPr>
                <w:color w:val="000000"/>
                <w:kern w:val="0"/>
                <w:szCs w:val="21"/>
              </w:rPr>
            </w:pPr>
            <w:r>
              <w:rPr>
                <w:color w:val="000000"/>
                <w:kern w:val="0"/>
                <w:sz w:val="24"/>
                <w:lang w:bidi="ar"/>
              </w:rPr>
              <w:t>-3.24</w:t>
            </w:r>
          </w:p>
        </w:tc>
      </w:tr>
      <w:tr w14:paraId="72D8FC60">
        <w:tblPrEx>
          <w:tblCellMar>
            <w:top w:w="0" w:type="dxa"/>
            <w:left w:w="108" w:type="dxa"/>
            <w:bottom w:w="0" w:type="dxa"/>
            <w:right w:w="108" w:type="dxa"/>
          </w:tblCellMar>
        </w:tblPrEx>
        <w:trPr>
          <w:trHeight w:val="420" w:hRule="atLeast"/>
          <w:jc w:val="center"/>
        </w:trPr>
        <w:tc>
          <w:tcPr>
            <w:tcW w:w="3082" w:type="dxa"/>
            <w:tcBorders>
              <w:top w:val="nil"/>
              <w:left w:val="single" w:color="auto" w:sz="4" w:space="0"/>
              <w:bottom w:val="single" w:color="auto" w:sz="4" w:space="0"/>
              <w:right w:val="single" w:color="auto" w:sz="4" w:space="0"/>
            </w:tcBorders>
            <w:noWrap/>
            <w:vAlign w:val="center"/>
          </w:tcPr>
          <w:p w14:paraId="779FAA66">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经营活动产生的现金流量净额</w:t>
            </w:r>
          </w:p>
        </w:tc>
        <w:tc>
          <w:tcPr>
            <w:tcW w:w="2160" w:type="dxa"/>
            <w:tcBorders>
              <w:top w:val="nil"/>
              <w:left w:val="nil"/>
              <w:bottom w:val="single" w:color="auto" w:sz="4" w:space="0"/>
              <w:right w:val="single" w:color="auto" w:sz="4" w:space="0"/>
            </w:tcBorders>
            <w:noWrap/>
            <w:vAlign w:val="center"/>
          </w:tcPr>
          <w:p w14:paraId="435910A7">
            <w:pPr>
              <w:widowControl/>
              <w:jc w:val="right"/>
              <w:textAlignment w:val="center"/>
              <w:rPr>
                <w:color w:val="000000"/>
                <w:kern w:val="0"/>
                <w:szCs w:val="21"/>
              </w:rPr>
            </w:pPr>
            <w:r>
              <w:rPr>
                <w:color w:val="000000"/>
                <w:kern w:val="0"/>
                <w:szCs w:val="21"/>
                <w:lang w:bidi="ar"/>
              </w:rPr>
              <w:t>450,944,524.49</w:t>
            </w:r>
          </w:p>
        </w:tc>
        <w:tc>
          <w:tcPr>
            <w:tcW w:w="2040" w:type="dxa"/>
            <w:tcBorders>
              <w:top w:val="nil"/>
              <w:left w:val="nil"/>
              <w:bottom w:val="single" w:color="auto" w:sz="4" w:space="0"/>
              <w:right w:val="single" w:color="auto" w:sz="4" w:space="0"/>
            </w:tcBorders>
            <w:noWrap/>
            <w:vAlign w:val="center"/>
          </w:tcPr>
          <w:p w14:paraId="4AE0AB69">
            <w:pPr>
              <w:widowControl/>
              <w:jc w:val="right"/>
              <w:textAlignment w:val="center"/>
              <w:rPr>
                <w:color w:val="000000"/>
                <w:kern w:val="0"/>
                <w:szCs w:val="21"/>
              </w:rPr>
            </w:pPr>
            <w:r>
              <w:rPr>
                <w:color w:val="000000"/>
                <w:kern w:val="0"/>
                <w:szCs w:val="21"/>
                <w:lang w:bidi="ar"/>
              </w:rPr>
              <w:t>588,126,685.11</w:t>
            </w:r>
          </w:p>
        </w:tc>
        <w:tc>
          <w:tcPr>
            <w:tcW w:w="1056" w:type="dxa"/>
            <w:tcBorders>
              <w:top w:val="nil"/>
              <w:left w:val="nil"/>
              <w:bottom w:val="single" w:color="auto" w:sz="4" w:space="0"/>
              <w:right w:val="single" w:color="auto" w:sz="4" w:space="0"/>
            </w:tcBorders>
            <w:noWrap/>
            <w:vAlign w:val="center"/>
          </w:tcPr>
          <w:p w14:paraId="281CC5B2">
            <w:pPr>
              <w:widowControl/>
              <w:jc w:val="right"/>
              <w:textAlignment w:val="center"/>
              <w:rPr>
                <w:color w:val="000000"/>
                <w:kern w:val="0"/>
                <w:szCs w:val="21"/>
              </w:rPr>
            </w:pPr>
            <w:r>
              <w:rPr>
                <w:color w:val="000000"/>
                <w:kern w:val="0"/>
                <w:sz w:val="24"/>
                <w:lang w:bidi="ar"/>
              </w:rPr>
              <w:t>-23.33</w:t>
            </w:r>
          </w:p>
        </w:tc>
      </w:tr>
      <w:tr w14:paraId="77ACD75F">
        <w:tblPrEx>
          <w:tblCellMar>
            <w:top w:w="0" w:type="dxa"/>
            <w:left w:w="108" w:type="dxa"/>
            <w:bottom w:w="0" w:type="dxa"/>
            <w:right w:w="108" w:type="dxa"/>
          </w:tblCellMar>
        </w:tblPrEx>
        <w:trPr>
          <w:trHeight w:val="420" w:hRule="atLeast"/>
          <w:jc w:val="center"/>
        </w:trPr>
        <w:tc>
          <w:tcPr>
            <w:tcW w:w="3082" w:type="dxa"/>
            <w:tcBorders>
              <w:top w:val="nil"/>
              <w:left w:val="single" w:color="auto" w:sz="4" w:space="0"/>
              <w:bottom w:val="single" w:color="auto" w:sz="4" w:space="0"/>
              <w:right w:val="single" w:color="auto" w:sz="4" w:space="0"/>
            </w:tcBorders>
            <w:noWrap/>
            <w:vAlign w:val="center"/>
          </w:tcPr>
          <w:p w14:paraId="0956F05B">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投资活动产生的现金流量净额</w:t>
            </w:r>
          </w:p>
        </w:tc>
        <w:tc>
          <w:tcPr>
            <w:tcW w:w="2160" w:type="dxa"/>
            <w:tcBorders>
              <w:top w:val="nil"/>
              <w:left w:val="nil"/>
              <w:bottom w:val="single" w:color="auto" w:sz="4" w:space="0"/>
              <w:right w:val="single" w:color="auto" w:sz="4" w:space="0"/>
            </w:tcBorders>
            <w:noWrap/>
            <w:vAlign w:val="center"/>
          </w:tcPr>
          <w:p w14:paraId="674F81BD">
            <w:pPr>
              <w:widowControl/>
              <w:jc w:val="right"/>
              <w:textAlignment w:val="center"/>
              <w:rPr>
                <w:color w:val="000000"/>
                <w:kern w:val="0"/>
                <w:szCs w:val="21"/>
              </w:rPr>
            </w:pPr>
            <w:r>
              <w:rPr>
                <w:color w:val="000000"/>
                <w:kern w:val="0"/>
                <w:szCs w:val="21"/>
                <w:lang w:bidi="ar"/>
              </w:rPr>
              <w:t>-346,261,181.97</w:t>
            </w:r>
          </w:p>
        </w:tc>
        <w:tc>
          <w:tcPr>
            <w:tcW w:w="2040" w:type="dxa"/>
            <w:tcBorders>
              <w:top w:val="nil"/>
              <w:left w:val="nil"/>
              <w:bottom w:val="single" w:color="auto" w:sz="4" w:space="0"/>
              <w:right w:val="single" w:color="auto" w:sz="4" w:space="0"/>
            </w:tcBorders>
            <w:noWrap/>
            <w:vAlign w:val="center"/>
          </w:tcPr>
          <w:p w14:paraId="70310FB7">
            <w:pPr>
              <w:widowControl/>
              <w:jc w:val="right"/>
              <w:textAlignment w:val="center"/>
              <w:rPr>
                <w:color w:val="000000"/>
                <w:kern w:val="0"/>
                <w:szCs w:val="21"/>
              </w:rPr>
            </w:pPr>
            <w:r>
              <w:rPr>
                <w:color w:val="000000"/>
                <w:kern w:val="0"/>
                <w:szCs w:val="21"/>
                <w:lang w:bidi="ar"/>
              </w:rPr>
              <w:t>-702,757,020.84</w:t>
            </w:r>
          </w:p>
        </w:tc>
        <w:tc>
          <w:tcPr>
            <w:tcW w:w="1056" w:type="dxa"/>
            <w:tcBorders>
              <w:top w:val="nil"/>
              <w:left w:val="nil"/>
              <w:bottom w:val="single" w:color="auto" w:sz="4" w:space="0"/>
              <w:right w:val="single" w:color="auto" w:sz="4" w:space="0"/>
            </w:tcBorders>
            <w:noWrap/>
            <w:vAlign w:val="center"/>
          </w:tcPr>
          <w:p w14:paraId="2534DA71">
            <w:pPr>
              <w:widowControl/>
              <w:jc w:val="right"/>
              <w:textAlignment w:val="center"/>
              <w:rPr>
                <w:color w:val="000000"/>
                <w:kern w:val="0"/>
                <w:szCs w:val="21"/>
              </w:rPr>
            </w:pPr>
            <w:r>
              <w:rPr>
                <w:color w:val="000000"/>
                <w:kern w:val="0"/>
                <w:sz w:val="24"/>
                <w:lang w:bidi="ar"/>
              </w:rPr>
              <w:t>50.73</w:t>
            </w:r>
          </w:p>
        </w:tc>
      </w:tr>
      <w:tr w14:paraId="0E65882D">
        <w:tblPrEx>
          <w:tblCellMar>
            <w:top w:w="0" w:type="dxa"/>
            <w:left w:w="108" w:type="dxa"/>
            <w:bottom w:w="0" w:type="dxa"/>
            <w:right w:w="108" w:type="dxa"/>
          </w:tblCellMar>
        </w:tblPrEx>
        <w:trPr>
          <w:trHeight w:val="420" w:hRule="atLeast"/>
          <w:jc w:val="center"/>
        </w:trPr>
        <w:tc>
          <w:tcPr>
            <w:tcW w:w="3082" w:type="dxa"/>
            <w:tcBorders>
              <w:top w:val="nil"/>
              <w:left w:val="single" w:color="auto" w:sz="4" w:space="0"/>
              <w:bottom w:val="single" w:color="auto" w:sz="4" w:space="0"/>
              <w:right w:val="single" w:color="auto" w:sz="4" w:space="0"/>
            </w:tcBorders>
            <w:noWrap/>
            <w:vAlign w:val="center"/>
          </w:tcPr>
          <w:p w14:paraId="3CCF4BCD">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筹资活动产生的现金流量净额</w:t>
            </w:r>
          </w:p>
        </w:tc>
        <w:tc>
          <w:tcPr>
            <w:tcW w:w="2160" w:type="dxa"/>
            <w:tcBorders>
              <w:top w:val="nil"/>
              <w:left w:val="nil"/>
              <w:bottom w:val="single" w:color="auto" w:sz="4" w:space="0"/>
              <w:right w:val="single" w:color="auto" w:sz="4" w:space="0"/>
            </w:tcBorders>
            <w:noWrap/>
            <w:vAlign w:val="center"/>
          </w:tcPr>
          <w:p w14:paraId="779BCDB6">
            <w:pPr>
              <w:widowControl/>
              <w:jc w:val="right"/>
              <w:textAlignment w:val="center"/>
              <w:rPr>
                <w:color w:val="000000"/>
                <w:kern w:val="0"/>
                <w:szCs w:val="21"/>
              </w:rPr>
            </w:pPr>
            <w:r>
              <w:rPr>
                <w:color w:val="000000"/>
                <w:kern w:val="0"/>
                <w:szCs w:val="21"/>
                <w:lang w:bidi="ar"/>
              </w:rPr>
              <w:t>-123,436,329.48</w:t>
            </w:r>
          </w:p>
        </w:tc>
        <w:tc>
          <w:tcPr>
            <w:tcW w:w="2040" w:type="dxa"/>
            <w:tcBorders>
              <w:top w:val="nil"/>
              <w:left w:val="nil"/>
              <w:bottom w:val="single" w:color="auto" w:sz="4" w:space="0"/>
              <w:right w:val="single" w:color="auto" w:sz="4" w:space="0"/>
            </w:tcBorders>
            <w:noWrap/>
            <w:vAlign w:val="center"/>
          </w:tcPr>
          <w:p w14:paraId="2F2FC1F1">
            <w:pPr>
              <w:widowControl/>
              <w:jc w:val="right"/>
              <w:textAlignment w:val="center"/>
              <w:rPr>
                <w:color w:val="000000"/>
                <w:kern w:val="0"/>
                <w:szCs w:val="21"/>
              </w:rPr>
            </w:pPr>
            <w:r>
              <w:rPr>
                <w:color w:val="000000"/>
                <w:kern w:val="0"/>
                <w:szCs w:val="21"/>
                <w:lang w:bidi="ar"/>
              </w:rPr>
              <w:t>48,608,512.07</w:t>
            </w:r>
          </w:p>
        </w:tc>
        <w:tc>
          <w:tcPr>
            <w:tcW w:w="1056" w:type="dxa"/>
            <w:tcBorders>
              <w:top w:val="nil"/>
              <w:left w:val="nil"/>
              <w:bottom w:val="single" w:color="auto" w:sz="4" w:space="0"/>
              <w:right w:val="single" w:color="auto" w:sz="4" w:space="0"/>
            </w:tcBorders>
            <w:noWrap/>
            <w:vAlign w:val="center"/>
          </w:tcPr>
          <w:p w14:paraId="56301A15">
            <w:pPr>
              <w:widowControl/>
              <w:jc w:val="right"/>
              <w:textAlignment w:val="center"/>
              <w:rPr>
                <w:color w:val="000000"/>
                <w:kern w:val="0"/>
                <w:szCs w:val="21"/>
              </w:rPr>
            </w:pPr>
            <w:r>
              <w:rPr>
                <w:color w:val="000000"/>
                <w:kern w:val="0"/>
                <w:sz w:val="24"/>
                <w:lang w:bidi="ar"/>
              </w:rPr>
              <w:t>-353.94</w:t>
            </w:r>
          </w:p>
        </w:tc>
      </w:tr>
    </w:tbl>
    <w:p w14:paraId="6825D314">
      <w:pPr>
        <w:pStyle w:val="25"/>
        <w:spacing w:line="400" w:lineRule="exact"/>
        <w:rPr>
          <w:rFonts w:hint="eastAsia" w:ascii="宋体" w:hAnsi="宋体"/>
          <w:sz w:val="24"/>
          <w:szCs w:val="24"/>
          <w:lang w:eastAsia="zh-CN"/>
        </w:rPr>
      </w:pPr>
    </w:p>
    <w:p w14:paraId="0E1F90F8">
      <w:pPr>
        <w:pStyle w:val="25"/>
        <w:spacing w:line="400" w:lineRule="exact"/>
        <w:rPr>
          <w:rFonts w:hint="eastAsia" w:ascii="宋体" w:hAnsi="宋体"/>
          <w:sz w:val="24"/>
          <w:szCs w:val="24"/>
          <w:lang w:eastAsia="zh-CN"/>
        </w:rPr>
      </w:pPr>
      <w:r>
        <w:rPr>
          <w:rFonts w:hint="eastAsia" w:ascii="宋体" w:hAnsi="宋体"/>
          <w:sz w:val="24"/>
          <w:szCs w:val="24"/>
          <w:lang w:eastAsia="zh-CN"/>
        </w:rPr>
        <w:t>（三）会计科目与同期相比分析如下：</w:t>
      </w:r>
    </w:p>
    <w:p w14:paraId="6C092061">
      <w:pPr>
        <w:spacing w:line="360" w:lineRule="auto"/>
        <w:rPr>
          <w:rFonts w:hint="eastAsia" w:ascii="宋体" w:hAnsi="宋体" w:cs="宋体"/>
          <w:sz w:val="24"/>
        </w:rPr>
      </w:pPr>
      <w:r>
        <w:rPr>
          <w:rFonts w:hint="eastAsia" w:ascii="宋体" w:hAnsi="宋体" w:cs="宋体"/>
          <w:sz w:val="24"/>
        </w:rPr>
        <w:t>1、应收票据：2025年12月31日比2024年12月31日减少99.95%，主要是本期公司使用票据比去年减少导致。</w:t>
      </w:r>
    </w:p>
    <w:p w14:paraId="352C2279">
      <w:pPr>
        <w:spacing w:line="360" w:lineRule="auto"/>
        <w:rPr>
          <w:rFonts w:hint="eastAsia" w:ascii="宋体" w:hAnsi="宋体" w:cs="宋体"/>
          <w:sz w:val="24"/>
        </w:rPr>
      </w:pPr>
      <w:r>
        <w:rPr>
          <w:rFonts w:hint="eastAsia" w:ascii="宋体" w:hAnsi="宋体" w:cs="宋体"/>
          <w:sz w:val="24"/>
        </w:rPr>
        <w:t>2、应收账款：2025年12月31日比2024年12月31日增加68.52%，主要是本期部分客户回款不及时导致。</w:t>
      </w:r>
    </w:p>
    <w:p w14:paraId="793351E6">
      <w:pPr>
        <w:spacing w:line="360" w:lineRule="auto"/>
        <w:rPr>
          <w:rFonts w:hint="eastAsia" w:ascii="宋体" w:hAnsi="宋体" w:cs="宋体"/>
          <w:sz w:val="24"/>
        </w:rPr>
      </w:pPr>
      <w:r>
        <w:rPr>
          <w:rFonts w:hint="eastAsia" w:ascii="宋体" w:hAnsi="宋体" w:cs="宋体"/>
          <w:sz w:val="24"/>
        </w:rPr>
        <w:t xml:space="preserve">3、其他应收款：2025年12月31日比2024年12月31日减少71.65%，主要是本期处置子公司，子公司账面其他应收款转出所致。 </w:t>
      </w:r>
    </w:p>
    <w:p w14:paraId="40D9CB82">
      <w:pPr>
        <w:spacing w:line="360" w:lineRule="auto"/>
        <w:rPr>
          <w:rFonts w:hint="eastAsia" w:ascii="宋体" w:hAnsi="宋体" w:cs="宋体"/>
          <w:sz w:val="24"/>
        </w:rPr>
      </w:pPr>
      <w:r>
        <w:rPr>
          <w:rFonts w:hint="eastAsia" w:ascii="宋体" w:hAnsi="宋体" w:cs="宋体"/>
          <w:sz w:val="24"/>
        </w:rPr>
        <w:t>4、其他流动资产：2025年12月31日比2024年12月31日增加191.68%，主要是本期进项税大于销项税，期末留抵增值税较上期大幅增加导致。</w:t>
      </w:r>
    </w:p>
    <w:p w14:paraId="7E6103E1">
      <w:pPr>
        <w:spacing w:line="360" w:lineRule="auto"/>
        <w:rPr>
          <w:rFonts w:hint="eastAsia" w:ascii="宋体" w:hAnsi="宋体" w:cs="宋体"/>
          <w:sz w:val="24"/>
        </w:rPr>
      </w:pPr>
      <w:r>
        <w:rPr>
          <w:rFonts w:hint="eastAsia" w:ascii="宋体" w:hAnsi="宋体" w:cs="宋体"/>
          <w:sz w:val="24"/>
        </w:rPr>
        <w:t>5、长期应收款：2025年12月31日比2024年12月31日减少61.25%，主要是本期收回融资租赁借款支付的保证金较上期增加所致。</w:t>
      </w:r>
    </w:p>
    <w:p w14:paraId="6ADEBDC8">
      <w:pPr>
        <w:spacing w:line="360" w:lineRule="auto"/>
        <w:rPr>
          <w:rFonts w:hint="eastAsia" w:ascii="宋体" w:hAnsi="宋体" w:cs="宋体"/>
          <w:sz w:val="24"/>
        </w:rPr>
      </w:pPr>
      <w:r>
        <w:rPr>
          <w:rFonts w:hint="eastAsia" w:ascii="宋体" w:hAnsi="宋体" w:cs="宋体"/>
          <w:sz w:val="24"/>
        </w:rPr>
        <w:t>6、其他非流动金融资产：2025年12月31日比2024年12月31日减少59.07%，主要是本期收回部分投资本金及公允价值变动损失所致。</w:t>
      </w:r>
    </w:p>
    <w:p w14:paraId="7E2382FC">
      <w:pPr>
        <w:spacing w:line="360" w:lineRule="auto"/>
        <w:rPr>
          <w:rFonts w:hint="eastAsia" w:ascii="宋体" w:hAnsi="宋体" w:cs="宋体"/>
          <w:sz w:val="24"/>
        </w:rPr>
      </w:pPr>
      <w:r>
        <w:rPr>
          <w:rFonts w:hint="eastAsia" w:ascii="宋体" w:hAnsi="宋体" w:cs="宋体"/>
          <w:sz w:val="24"/>
        </w:rPr>
        <w:t>7、在建工程：2025年12月31日比2024年12月31日减少99.08%，主要是子公司新建育苗厂房全部转资所致。</w:t>
      </w:r>
    </w:p>
    <w:p w14:paraId="3364FBF4">
      <w:pPr>
        <w:spacing w:line="360" w:lineRule="auto"/>
        <w:rPr>
          <w:rFonts w:hint="eastAsia" w:ascii="宋体" w:hAnsi="宋体" w:cs="宋体"/>
          <w:sz w:val="24"/>
        </w:rPr>
      </w:pPr>
      <w:r>
        <w:rPr>
          <w:rFonts w:hint="eastAsia" w:ascii="宋体" w:hAnsi="宋体" w:cs="宋体"/>
          <w:sz w:val="24"/>
        </w:rPr>
        <w:t>8、使用权资产：2025年12月31日比2024年12月31日增加49,112,045.32元，主要是公司新增水库使用权资产和租入办公室确认使用权资产所致。</w:t>
      </w:r>
    </w:p>
    <w:p w14:paraId="4422839A">
      <w:pPr>
        <w:spacing w:line="360" w:lineRule="auto"/>
        <w:rPr>
          <w:rFonts w:hint="eastAsia" w:ascii="宋体" w:hAnsi="宋体" w:cs="宋体"/>
          <w:sz w:val="24"/>
        </w:rPr>
      </w:pPr>
      <w:r>
        <w:rPr>
          <w:rFonts w:hint="eastAsia" w:ascii="宋体" w:hAnsi="宋体" w:cs="宋体"/>
          <w:sz w:val="24"/>
        </w:rPr>
        <w:t>9、应付账款：2025年12月31日比2024年12月31日减少41.50%，主要是本期支付上年末未支付的构建长期资产款项余额所致。</w:t>
      </w:r>
    </w:p>
    <w:p w14:paraId="7B1F7B1E">
      <w:pPr>
        <w:spacing w:line="360" w:lineRule="auto"/>
        <w:rPr>
          <w:rFonts w:hint="eastAsia" w:ascii="宋体" w:hAnsi="宋体" w:cs="宋体"/>
          <w:sz w:val="24"/>
        </w:rPr>
      </w:pPr>
      <w:r>
        <w:rPr>
          <w:rFonts w:hint="eastAsia" w:ascii="宋体" w:hAnsi="宋体" w:cs="宋体"/>
          <w:sz w:val="24"/>
        </w:rPr>
        <w:t>10、预收账款：2025年12月31日比2024年12月31日减少92.27%，主要是本期预收租金较上年减少所致。</w:t>
      </w:r>
    </w:p>
    <w:p w14:paraId="01C31561">
      <w:pPr>
        <w:spacing w:line="360" w:lineRule="auto"/>
        <w:rPr>
          <w:rFonts w:hint="eastAsia" w:ascii="宋体" w:hAnsi="宋体" w:cs="宋体"/>
          <w:sz w:val="24"/>
        </w:rPr>
      </w:pPr>
      <w:r>
        <w:rPr>
          <w:rFonts w:hint="eastAsia" w:ascii="宋体" w:hAnsi="宋体" w:cs="宋体"/>
          <w:sz w:val="24"/>
        </w:rPr>
        <w:t>11、合同负债：2025年12月31日比2024年12月31日增加31.19%，主要是本期转预收销货款较上年增加所致。</w:t>
      </w:r>
    </w:p>
    <w:p w14:paraId="3417D7DF">
      <w:pPr>
        <w:spacing w:line="360" w:lineRule="auto"/>
        <w:rPr>
          <w:rFonts w:hint="eastAsia" w:ascii="宋体" w:hAnsi="宋体" w:cs="宋体"/>
          <w:sz w:val="24"/>
        </w:rPr>
      </w:pPr>
      <w:r>
        <w:rPr>
          <w:rFonts w:hint="eastAsia" w:ascii="宋体" w:hAnsi="宋体" w:cs="宋体"/>
          <w:sz w:val="24"/>
        </w:rPr>
        <w:t>12、其他流动负债：2025年12月31日比2024年12月31日减少85.96%，主要是上期存在大额应收票据转回而本期不存在相应情况所致。</w:t>
      </w:r>
    </w:p>
    <w:p w14:paraId="11C1513F">
      <w:pPr>
        <w:spacing w:line="360" w:lineRule="auto"/>
        <w:rPr>
          <w:rFonts w:hint="eastAsia" w:ascii="宋体" w:hAnsi="宋体" w:cs="宋体"/>
          <w:sz w:val="24"/>
        </w:rPr>
      </w:pPr>
      <w:r>
        <w:rPr>
          <w:rFonts w:hint="eastAsia" w:ascii="宋体" w:hAnsi="宋体" w:cs="宋体"/>
          <w:sz w:val="24"/>
        </w:rPr>
        <w:t>13、长期借款：2025年12月31日比2024年12月31日增加33.29%，主要是本期新增借款所致。</w:t>
      </w:r>
    </w:p>
    <w:p w14:paraId="40569017">
      <w:pPr>
        <w:spacing w:line="360" w:lineRule="auto"/>
        <w:rPr>
          <w:rFonts w:hint="eastAsia" w:ascii="宋体" w:hAnsi="宋体" w:cs="宋体"/>
          <w:sz w:val="24"/>
        </w:rPr>
      </w:pPr>
      <w:r>
        <w:rPr>
          <w:rFonts w:hint="eastAsia" w:ascii="宋体" w:hAnsi="宋体" w:cs="宋体"/>
          <w:sz w:val="24"/>
        </w:rPr>
        <w:t>14、租赁负债：2025年12月31日比2024年12月31日增加2,114,700.16元，主要是公司租入办公室确认租赁负债所致。</w:t>
      </w:r>
    </w:p>
    <w:p w14:paraId="53E290A8">
      <w:pPr>
        <w:spacing w:line="360" w:lineRule="auto"/>
        <w:rPr>
          <w:rFonts w:hint="eastAsia" w:ascii="宋体" w:hAnsi="宋体" w:cs="宋体"/>
          <w:sz w:val="24"/>
        </w:rPr>
      </w:pPr>
      <w:r>
        <w:rPr>
          <w:rFonts w:hint="eastAsia" w:ascii="宋体" w:hAnsi="宋体" w:cs="宋体"/>
          <w:sz w:val="24"/>
        </w:rPr>
        <w:t>15、长期应付款：2025年12月31日比2024年12月31日减少72.97%，主要是公司本期偿还借款及重分类至1年内到期的非流动负债列示所致。</w:t>
      </w:r>
    </w:p>
    <w:p w14:paraId="35D44FC1">
      <w:pPr>
        <w:spacing w:line="360" w:lineRule="auto"/>
        <w:rPr>
          <w:rFonts w:hint="eastAsia" w:ascii="宋体" w:hAnsi="宋体" w:cs="宋体"/>
          <w:sz w:val="24"/>
        </w:rPr>
      </w:pPr>
      <w:r>
        <w:rPr>
          <w:rFonts w:hint="eastAsia" w:ascii="宋体" w:hAnsi="宋体" w:cs="宋体"/>
          <w:sz w:val="24"/>
        </w:rPr>
        <w:t xml:space="preserve">16、营业成本变动原因说明：2025年12月31日比2024年12月31日减少33.06%，主要是本期海参苗种摊销成本较上期大幅减少导致。 </w:t>
      </w:r>
    </w:p>
    <w:p w14:paraId="2D0466F9">
      <w:pPr>
        <w:spacing w:line="360" w:lineRule="auto"/>
        <w:rPr>
          <w:rFonts w:hint="eastAsia" w:ascii="宋体" w:hAnsi="宋体" w:cs="宋体"/>
          <w:sz w:val="24"/>
        </w:rPr>
      </w:pPr>
      <w:r>
        <w:rPr>
          <w:rFonts w:hint="eastAsia" w:ascii="宋体" w:hAnsi="宋体" w:cs="宋体"/>
          <w:sz w:val="24"/>
        </w:rPr>
        <w:t xml:space="preserve">17、财务费用变动原因说明：2025年12月31日比2024年12月31日增加38.15%，主要是本期利息支出较上年增加所致。 </w:t>
      </w:r>
    </w:p>
    <w:p w14:paraId="1CEF195A">
      <w:pPr>
        <w:spacing w:line="360" w:lineRule="auto"/>
        <w:rPr>
          <w:rFonts w:hint="eastAsia" w:ascii="宋体" w:hAnsi="宋体" w:cs="宋体"/>
          <w:sz w:val="24"/>
        </w:rPr>
      </w:pPr>
      <w:r>
        <w:rPr>
          <w:rFonts w:hint="eastAsia" w:ascii="宋体" w:hAnsi="宋体" w:cs="宋体"/>
          <w:sz w:val="24"/>
        </w:rPr>
        <w:t xml:space="preserve">18、研发费用变动原因说明：2025年12月31日比2024年12月31日增加43.90%，主要是本期研发投入较上年增加所致。 </w:t>
      </w:r>
    </w:p>
    <w:p w14:paraId="1BAC62B2">
      <w:pPr>
        <w:spacing w:line="360" w:lineRule="auto"/>
        <w:rPr>
          <w:rFonts w:hint="eastAsia" w:ascii="宋体" w:hAnsi="宋体" w:cs="宋体"/>
          <w:sz w:val="24"/>
        </w:rPr>
      </w:pPr>
      <w:r>
        <w:rPr>
          <w:rFonts w:hint="eastAsia" w:ascii="宋体" w:hAnsi="宋体" w:cs="宋体"/>
          <w:sz w:val="24"/>
        </w:rPr>
        <w:t xml:space="preserve">19、其他收益变动原因说明：2025年12月31日比2024年12月31日减少34.84%，主要是本期收到政府补助较上年减少所致。 </w:t>
      </w:r>
    </w:p>
    <w:p w14:paraId="3F5307B4">
      <w:pPr>
        <w:spacing w:line="360" w:lineRule="auto"/>
        <w:rPr>
          <w:rFonts w:hint="eastAsia" w:ascii="宋体" w:hAnsi="宋体" w:cs="宋体"/>
          <w:sz w:val="24"/>
        </w:rPr>
      </w:pPr>
      <w:r>
        <w:rPr>
          <w:rFonts w:hint="eastAsia" w:ascii="宋体" w:hAnsi="宋体" w:cs="宋体"/>
          <w:sz w:val="24"/>
        </w:rPr>
        <w:t>20、投资收益变动原因说明：2025年12月31日比2024年12月31日增加75.85%，主要是本期处置子公司产生收益所致，上年无此种情况</w:t>
      </w:r>
    </w:p>
    <w:p w14:paraId="6F5B5157">
      <w:pPr>
        <w:spacing w:line="360" w:lineRule="auto"/>
        <w:rPr>
          <w:rFonts w:hint="eastAsia" w:ascii="宋体" w:hAnsi="宋体" w:cs="宋体"/>
          <w:sz w:val="24"/>
        </w:rPr>
      </w:pPr>
      <w:r>
        <w:rPr>
          <w:rFonts w:hint="eastAsia" w:ascii="宋体" w:hAnsi="宋体" w:cs="宋体"/>
          <w:sz w:val="24"/>
        </w:rPr>
        <w:t>21、公允价值变动收益变动原因说明：2025年12月31日比2024年12月31日增加84.72%，主要是本期投资的企业净资产下降幅度较上年下滑所致。</w:t>
      </w:r>
    </w:p>
    <w:p w14:paraId="1D4C655A">
      <w:pPr>
        <w:spacing w:line="360" w:lineRule="auto"/>
        <w:rPr>
          <w:rFonts w:hint="eastAsia" w:ascii="宋体" w:hAnsi="宋体" w:cs="宋体"/>
          <w:sz w:val="24"/>
        </w:rPr>
      </w:pPr>
      <w:r>
        <w:rPr>
          <w:rFonts w:hint="eastAsia" w:ascii="宋体" w:hAnsi="宋体" w:cs="宋体"/>
          <w:sz w:val="24"/>
        </w:rPr>
        <w:t>22、信用减值损失变动原因说明：2025年12月31日比2024年12月31日增加102.75%，主要是应收账款余额增加，其他应收款余额减少，本期减值准备余额与上期末相比变化不大，因此减值损失当期发生额很小所致。　　　</w:t>
      </w:r>
    </w:p>
    <w:p w14:paraId="16D8F328">
      <w:pPr>
        <w:spacing w:line="360" w:lineRule="auto"/>
        <w:rPr>
          <w:rFonts w:hint="eastAsia" w:ascii="宋体" w:hAnsi="宋体" w:cs="宋体"/>
          <w:sz w:val="24"/>
        </w:rPr>
      </w:pPr>
      <w:r>
        <w:rPr>
          <w:rFonts w:hint="eastAsia" w:ascii="宋体" w:hAnsi="宋体" w:cs="宋体"/>
          <w:sz w:val="24"/>
        </w:rPr>
        <w:t>23、资产减值损失变动原因说明：2025年12月31日比2024年12月31日减少80.21%，主要是本期计提存货跌价较上期增加所致。</w:t>
      </w:r>
    </w:p>
    <w:p w14:paraId="1BF5079F">
      <w:pPr>
        <w:spacing w:line="360" w:lineRule="auto"/>
        <w:rPr>
          <w:rFonts w:hint="eastAsia" w:ascii="宋体" w:hAnsi="宋体" w:cs="宋体"/>
          <w:sz w:val="24"/>
        </w:rPr>
      </w:pPr>
      <w:r>
        <w:rPr>
          <w:rFonts w:hint="eastAsia" w:ascii="宋体" w:hAnsi="宋体" w:cs="宋体"/>
          <w:sz w:val="24"/>
        </w:rPr>
        <w:t>24、资产处置收益变动原因说明：2025年12月31日比2024年12月31日增加160.93%，主要是本期处置固定资产收益较上期增加所致。　　　</w:t>
      </w:r>
    </w:p>
    <w:p w14:paraId="22321A2F">
      <w:pPr>
        <w:spacing w:line="360" w:lineRule="auto"/>
        <w:rPr>
          <w:rFonts w:hint="eastAsia" w:ascii="宋体" w:hAnsi="宋体" w:cs="宋体"/>
          <w:sz w:val="24"/>
        </w:rPr>
      </w:pPr>
      <w:r>
        <w:rPr>
          <w:rFonts w:hint="eastAsia" w:ascii="宋体" w:hAnsi="宋体" w:cs="宋体"/>
          <w:sz w:val="24"/>
        </w:rPr>
        <w:t>25、所得税费用变动原因说明：2025年12月31日比2024年12月31日增加235.17%，主要是本期当期所得税、递延所得税同时较上期增加所致。</w:t>
      </w:r>
    </w:p>
    <w:p w14:paraId="7723321F">
      <w:pPr>
        <w:spacing w:line="360" w:lineRule="auto"/>
        <w:rPr>
          <w:rFonts w:hint="eastAsia" w:ascii="宋体" w:hAnsi="宋体" w:cs="宋体"/>
          <w:sz w:val="24"/>
        </w:rPr>
      </w:pPr>
      <w:r>
        <w:rPr>
          <w:rFonts w:hint="eastAsia" w:ascii="宋体" w:hAnsi="宋体" w:cs="宋体"/>
          <w:sz w:val="24"/>
        </w:rPr>
        <w:t>26、经营活动产生的现金流量净额变动原因说明：2025年12月31日比2024年12月31日减少23.33%，主要是因为本期销售收入较上期下滑所致。</w:t>
      </w:r>
    </w:p>
    <w:p w14:paraId="1C46C02E">
      <w:pPr>
        <w:spacing w:line="360" w:lineRule="auto"/>
        <w:rPr>
          <w:rFonts w:hint="eastAsia" w:ascii="宋体" w:hAnsi="宋体" w:cs="宋体"/>
          <w:sz w:val="24"/>
        </w:rPr>
      </w:pPr>
      <w:r>
        <w:rPr>
          <w:rFonts w:hint="eastAsia" w:ascii="宋体" w:hAnsi="宋体" w:cs="宋体"/>
          <w:sz w:val="24"/>
        </w:rPr>
        <w:t>27、投资活动产生的现金流量净额变动原因说明：2025年12月31日比2024年12月31日增加50.73%，主要是因为本期构建资产支付的现金较上期减少所致。</w:t>
      </w:r>
    </w:p>
    <w:p w14:paraId="6147745C">
      <w:pPr>
        <w:spacing w:line="360" w:lineRule="auto"/>
        <w:rPr>
          <w:rFonts w:cs="宋体"/>
          <w:kern w:val="0"/>
          <w:sz w:val="24"/>
          <w:lang w:bidi="ar"/>
        </w:rPr>
      </w:pPr>
      <w:r>
        <w:rPr>
          <w:rFonts w:hint="eastAsia" w:ascii="宋体" w:hAnsi="宋体" w:cs="宋体"/>
          <w:sz w:val="24"/>
        </w:rPr>
        <w:t>28、筹资活动产生的现金流量净额变动原因说明：2025年12月31日比2024年12月31日减少353.94%，主要是因为本期末支付票据保证金、偿还融资租赁借款大于上期金额所致。</w:t>
      </w:r>
    </w:p>
    <w:p w14:paraId="0D47CA7C">
      <w:pPr>
        <w:pStyle w:val="25"/>
        <w:spacing w:line="400" w:lineRule="exact"/>
        <w:rPr>
          <w:rFonts w:hint="eastAsia" w:ascii="宋体" w:hAnsi="宋体"/>
          <w:b/>
          <w:sz w:val="24"/>
          <w:szCs w:val="24"/>
          <w:lang w:eastAsia="zh-CN"/>
        </w:rPr>
      </w:pPr>
      <w:r>
        <w:rPr>
          <w:rFonts w:hint="eastAsia" w:ascii="宋体" w:hAnsi="宋体"/>
          <w:b/>
          <w:sz w:val="24"/>
          <w:szCs w:val="24"/>
          <w:lang w:eastAsia="zh-CN"/>
        </w:rPr>
        <w:t>二、2025年财务决算各项收益率</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2700"/>
        <w:gridCol w:w="2474"/>
      </w:tblGrid>
      <w:tr w14:paraId="47FE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vMerge w:val="restart"/>
            <w:vAlign w:val="center"/>
          </w:tcPr>
          <w:p w14:paraId="162FC174">
            <w:pPr>
              <w:pStyle w:val="25"/>
              <w:spacing w:line="400" w:lineRule="exact"/>
              <w:jc w:val="center"/>
              <w:rPr>
                <w:rFonts w:hint="eastAsia" w:ascii="宋体" w:hAnsi="宋体"/>
                <w:sz w:val="24"/>
                <w:szCs w:val="24"/>
              </w:rPr>
            </w:pPr>
            <w:r>
              <w:rPr>
                <w:rFonts w:hint="eastAsia" w:ascii="宋体" w:hAnsi="宋体"/>
                <w:sz w:val="24"/>
                <w:szCs w:val="24"/>
              </w:rPr>
              <w:t>报告期利润</w:t>
            </w:r>
          </w:p>
        </w:tc>
        <w:tc>
          <w:tcPr>
            <w:tcW w:w="2700" w:type="dxa"/>
            <w:vAlign w:val="center"/>
          </w:tcPr>
          <w:p w14:paraId="411D40C7">
            <w:pPr>
              <w:pStyle w:val="25"/>
              <w:spacing w:line="400" w:lineRule="exact"/>
              <w:jc w:val="center"/>
              <w:rPr>
                <w:rFonts w:hint="eastAsia" w:ascii="宋体" w:hAnsi="宋体"/>
                <w:sz w:val="24"/>
                <w:szCs w:val="24"/>
              </w:rPr>
            </w:pPr>
            <w:r>
              <w:rPr>
                <w:rFonts w:hint="eastAsia" w:ascii="宋体" w:hAnsi="宋体"/>
                <w:sz w:val="24"/>
                <w:szCs w:val="24"/>
              </w:rPr>
              <w:t>净资产收益率（％）</w:t>
            </w:r>
          </w:p>
        </w:tc>
        <w:tc>
          <w:tcPr>
            <w:tcW w:w="2474" w:type="dxa"/>
            <w:vAlign w:val="center"/>
          </w:tcPr>
          <w:p w14:paraId="1A4AF0A1">
            <w:pPr>
              <w:pStyle w:val="25"/>
              <w:spacing w:line="400" w:lineRule="exact"/>
              <w:jc w:val="center"/>
              <w:rPr>
                <w:rFonts w:hint="eastAsia" w:ascii="宋体" w:hAnsi="宋体"/>
                <w:sz w:val="24"/>
                <w:szCs w:val="24"/>
              </w:rPr>
            </w:pPr>
            <w:r>
              <w:rPr>
                <w:rFonts w:hint="eastAsia" w:ascii="宋体" w:hAnsi="宋体"/>
                <w:sz w:val="24"/>
                <w:szCs w:val="24"/>
              </w:rPr>
              <w:t>每股收益（元）</w:t>
            </w:r>
          </w:p>
        </w:tc>
      </w:tr>
      <w:tr w14:paraId="5335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vMerge w:val="continue"/>
            <w:vAlign w:val="center"/>
          </w:tcPr>
          <w:p w14:paraId="7ADBDF01">
            <w:pPr>
              <w:pStyle w:val="25"/>
              <w:spacing w:line="400" w:lineRule="exact"/>
              <w:rPr>
                <w:rFonts w:hint="eastAsia" w:ascii="宋体" w:hAnsi="宋体"/>
                <w:sz w:val="24"/>
                <w:szCs w:val="24"/>
              </w:rPr>
            </w:pPr>
          </w:p>
        </w:tc>
        <w:tc>
          <w:tcPr>
            <w:tcW w:w="2700" w:type="dxa"/>
            <w:vAlign w:val="center"/>
          </w:tcPr>
          <w:p w14:paraId="6007346E">
            <w:pPr>
              <w:pStyle w:val="25"/>
              <w:spacing w:line="400" w:lineRule="exact"/>
              <w:jc w:val="center"/>
              <w:rPr>
                <w:rFonts w:hint="eastAsia" w:ascii="宋体" w:hAnsi="宋体"/>
                <w:sz w:val="24"/>
                <w:szCs w:val="24"/>
              </w:rPr>
            </w:pPr>
            <w:r>
              <w:rPr>
                <w:rFonts w:hint="eastAsia" w:ascii="宋体" w:hAnsi="宋体"/>
                <w:sz w:val="24"/>
                <w:szCs w:val="24"/>
              </w:rPr>
              <w:t>加权平均</w:t>
            </w:r>
          </w:p>
        </w:tc>
        <w:tc>
          <w:tcPr>
            <w:tcW w:w="2474" w:type="dxa"/>
            <w:vAlign w:val="center"/>
          </w:tcPr>
          <w:p w14:paraId="0F733E99">
            <w:pPr>
              <w:pStyle w:val="25"/>
              <w:spacing w:line="400" w:lineRule="exact"/>
              <w:jc w:val="center"/>
              <w:rPr>
                <w:rFonts w:hint="eastAsia" w:ascii="宋体" w:hAnsi="宋体"/>
                <w:sz w:val="24"/>
                <w:szCs w:val="24"/>
              </w:rPr>
            </w:pPr>
            <w:r>
              <w:rPr>
                <w:rFonts w:hint="eastAsia" w:ascii="宋体" w:hAnsi="宋体"/>
                <w:sz w:val="24"/>
                <w:szCs w:val="24"/>
              </w:rPr>
              <w:t>加权平均</w:t>
            </w:r>
          </w:p>
        </w:tc>
      </w:tr>
      <w:tr w14:paraId="3961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vAlign w:val="center"/>
          </w:tcPr>
          <w:p w14:paraId="3B86C0D5">
            <w:pPr>
              <w:pStyle w:val="25"/>
              <w:spacing w:line="400" w:lineRule="exact"/>
              <w:rPr>
                <w:rFonts w:hint="eastAsia" w:ascii="宋体" w:hAnsi="宋体"/>
                <w:sz w:val="24"/>
                <w:szCs w:val="24"/>
                <w:lang w:eastAsia="zh-CN"/>
              </w:rPr>
            </w:pPr>
            <w:r>
              <w:rPr>
                <w:rFonts w:hint="eastAsia" w:ascii="宋体" w:hAnsi="宋体"/>
                <w:sz w:val="24"/>
                <w:szCs w:val="24"/>
                <w:lang w:eastAsia="zh-CN"/>
              </w:rPr>
              <w:t>归属于母公司普通股股东的净利润</w:t>
            </w:r>
          </w:p>
        </w:tc>
        <w:tc>
          <w:tcPr>
            <w:tcW w:w="2700" w:type="dxa"/>
            <w:vAlign w:val="center"/>
          </w:tcPr>
          <w:p w14:paraId="3BA09195">
            <w:pPr>
              <w:pStyle w:val="25"/>
              <w:spacing w:line="400" w:lineRule="exact"/>
              <w:jc w:val="center"/>
              <w:rPr>
                <w:rFonts w:hint="eastAsia" w:ascii="宋体" w:hAnsi="宋体"/>
                <w:sz w:val="24"/>
                <w:szCs w:val="24"/>
                <w:lang w:eastAsia="zh-CN"/>
              </w:rPr>
            </w:pPr>
            <w:r>
              <w:rPr>
                <w:rFonts w:hint="eastAsia" w:ascii="宋体" w:hAnsi="宋体"/>
                <w:sz w:val="24"/>
                <w:szCs w:val="24"/>
                <w:lang w:eastAsia="zh-CN"/>
              </w:rPr>
              <w:t>0.88</w:t>
            </w:r>
          </w:p>
        </w:tc>
        <w:tc>
          <w:tcPr>
            <w:tcW w:w="2474" w:type="dxa"/>
            <w:vAlign w:val="center"/>
          </w:tcPr>
          <w:p w14:paraId="19FDD1AE">
            <w:pPr>
              <w:pStyle w:val="25"/>
              <w:spacing w:line="400" w:lineRule="exact"/>
              <w:jc w:val="center"/>
              <w:rPr>
                <w:rFonts w:hint="eastAsia" w:ascii="宋体" w:hAnsi="宋体"/>
                <w:sz w:val="24"/>
                <w:szCs w:val="24"/>
                <w:lang w:eastAsia="zh-CN"/>
              </w:rPr>
            </w:pPr>
            <w:r>
              <w:rPr>
                <w:rFonts w:hint="eastAsia" w:ascii="宋体" w:hAnsi="宋体"/>
                <w:sz w:val="24"/>
                <w:szCs w:val="24"/>
                <w:lang w:eastAsia="zh-CN"/>
              </w:rPr>
              <w:t>0.02</w:t>
            </w:r>
          </w:p>
        </w:tc>
      </w:tr>
      <w:tr w14:paraId="1535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vAlign w:val="center"/>
          </w:tcPr>
          <w:p w14:paraId="75BB4726">
            <w:pPr>
              <w:pStyle w:val="25"/>
              <w:spacing w:line="400" w:lineRule="exact"/>
              <w:rPr>
                <w:rFonts w:hint="eastAsia" w:ascii="宋体" w:hAnsi="宋体"/>
                <w:sz w:val="24"/>
                <w:szCs w:val="24"/>
                <w:lang w:eastAsia="zh-CN"/>
              </w:rPr>
            </w:pPr>
            <w:r>
              <w:rPr>
                <w:rFonts w:hint="eastAsia" w:ascii="宋体" w:hAnsi="宋体"/>
                <w:sz w:val="24"/>
                <w:szCs w:val="24"/>
                <w:lang w:eastAsia="zh-CN"/>
              </w:rPr>
              <w:t>扣除非经常性损益后的归属于母公司普通股股东的净利润</w:t>
            </w:r>
          </w:p>
        </w:tc>
        <w:tc>
          <w:tcPr>
            <w:tcW w:w="2700" w:type="dxa"/>
            <w:vAlign w:val="center"/>
          </w:tcPr>
          <w:p w14:paraId="2CA5694D">
            <w:pPr>
              <w:pStyle w:val="25"/>
              <w:spacing w:line="400" w:lineRule="exact"/>
              <w:jc w:val="center"/>
              <w:rPr>
                <w:rFonts w:hint="eastAsia" w:ascii="宋体" w:hAnsi="宋体"/>
                <w:sz w:val="24"/>
                <w:szCs w:val="24"/>
                <w:lang w:eastAsia="zh-CN"/>
              </w:rPr>
            </w:pPr>
            <w:r>
              <w:rPr>
                <w:rFonts w:hint="eastAsia" w:ascii="宋体" w:hAnsi="宋体"/>
                <w:sz w:val="24"/>
                <w:szCs w:val="24"/>
                <w:lang w:eastAsia="zh-CN"/>
              </w:rPr>
              <w:t>-0.06</w:t>
            </w:r>
          </w:p>
        </w:tc>
        <w:tc>
          <w:tcPr>
            <w:tcW w:w="2474" w:type="dxa"/>
            <w:vAlign w:val="center"/>
          </w:tcPr>
          <w:p w14:paraId="60C58969">
            <w:pPr>
              <w:pStyle w:val="25"/>
              <w:spacing w:line="400" w:lineRule="exact"/>
              <w:jc w:val="center"/>
              <w:rPr>
                <w:rFonts w:hint="eastAsia" w:ascii="宋体" w:hAnsi="宋体"/>
                <w:sz w:val="24"/>
                <w:szCs w:val="24"/>
                <w:lang w:eastAsia="zh-CN"/>
              </w:rPr>
            </w:pPr>
            <w:r>
              <w:rPr>
                <w:rFonts w:hint="eastAsia" w:ascii="宋体" w:hAnsi="宋体"/>
                <w:sz w:val="24"/>
                <w:szCs w:val="24"/>
                <w:lang w:eastAsia="zh-CN"/>
              </w:rPr>
              <w:t>-0.001</w:t>
            </w:r>
          </w:p>
        </w:tc>
      </w:tr>
    </w:tbl>
    <w:p w14:paraId="3C51D750">
      <w:pPr>
        <w:pStyle w:val="25"/>
        <w:spacing w:line="400" w:lineRule="exact"/>
        <w:rPr>
          <w:rFonts w:hint="eastAsia" w:ascii="宋体" w:hAnsi="宋体"/>
          <w:b/>
          <w:sz w:val="24"/>
          <w:szCs w:val="24"/>
          <w:lang w:eastAsia="zh-CN"/>
        </w:rPr>
      </w:pPr>
      <w:r>
        <w:rPr>
          <w:rFonts w:hint="eastAsia" w:ascii="宋体" w:hAnsi="宋体"/>
          <w:b/>
          <w:sz w:val="24"/>
          <w:szCs w:val="24"/>
          <w:lang w:eastAsia="zh-CN"/>
        </w:rPr>
        <w:t>三、报表有关情况说明</w:t>
      </w:r>
    </w:p>
    <w:p w14:paraId="2ABDE949">
      <w:pPr>
        <w:pStyle w:val="25"/>
        <w:spacing w:line="400" w:lineRule="exact"/>
        <w:ind w:firstLine="480" w:firstLineChars="200"/>
        <w:rPr>
          <w:rFonts w:hint="eastAsia" w:ascii="宋体" w:hAnsi="宋体"/>
          <w:sz w:val="24"/>
          <w:szCs w:val="24"/>
          <w:lang w:eastAsia="zh-CN"/>
        </w:rPr>
      </w:pPr>
      <w:r>
        <w:rPr>
          <w:rFonts w:hint="eastAsia" w:ascii="宋体" w:hAnsi="宋体"/>
          <w:sz w:val="24"/>
          <w:szCs w:val="24"/>
          <w:lang w:eastAsia="zh-CN"/>
        </w:rPr>
        <w:t>本次报表编制过程中以公司本部和纳入合并范围的子公司的会计报表以及其他有关资料为依据，合并各项目数额编制而成。合并时各子公司采用的主要会计政策均按照母公司的统一规定，相同项目的数据逐项汇总，母公司的长期投资与子公司的权益相互抵消，母公司与子公司之间、子公司与子公司之间的重大内部交易与内部往来予以抵消，少数股东权益单独列示。</w:t>
      </w:r>
    </w:p>
    <w:p w14:paraId="52AB6B76">
      <w:pPr>
        <w:pStyle w:val="25"/>
        <w:spacing w:line="400" w:lineRule="exact"/>
        <w:ind w:firstLine="480" w:firstLineChars="200"/>
        <w:rPr>
          <w:rFonts w:hint="eastAsia" w:ascii="宋体" w:hAnsi="宋体"/>
          <w:sz w:val="24"/>
          <w:szCs w:val="24"/>
          <w:lang w:eastAsia="zh-CN"/>
        </w:rPr>
      </w:pPr>
      <w:r>
        <w:rPr>
          <w:rFonts w:hint="eastAsia" w:ascii="宋体" w:hAnsi="宋体"/>
          <w:sz w:val="24"/>
          <w:szCs w:val="24"/>
          <w:lang w:eastAsia="zh-CN"/>
        </w:rPr>
        <w:t>以上是公司2025年财务指标完成情况和资产结构分析，请各位与会股东审议表决。</w:t>
      </w:r>
    </w:p>
    <w:p w14:paraId="154674D2">
      <w:pPr>
        <w:pStyle w:val="25"/>
        <w:spacing w:line="400" w:lineRule="exact"/>
        <w:jc w:val="center"/>
        <w:rPr>
          <w:lang w:eastAsia="zh-CN"/>
        </w:rPr>
      </w:pPr>
      <w:r>
        <w:rPr>
          <w:rFonts w:hint="eastAsia" w:ascii="宋体" w:hAnsi="宋体"/>
          <w:sz w:val="24"/>
          <w:szCs w:val="24"/>
          <w:lang w:eastAsia="zh-CN"/>
        </w:rPr>
        <w:t xml:space="preserve">                       </w:t>
      </w:r>
    </w:p>
    <w:p w14:paraId="4AFC65CB">
      <w:pPr>
        <w:pStyle w:val="25"/>
        <w:spacing w:line="360" w:lineRule="auto"/>
        <w:jc w:val="right"/>
        <w:rPr>
          <w:rFonts w:hint="eastAsia" w:ascii="宋体" w:hAnsi="宋体"/>
          <w:sz w:val="24"/>
          <w:szCs w:val="24"/>
          <w:lang w:eastAsia="zh-CN"/>
        </w:rPr>
      </w:pPr>
      <w:r>
        <w:rPr>
          <w:rFonts w:hint="eastAsia" w:ascii="宋体" w:hAnsi="宋体"/>
          <w:sz w:val="24"/>
          <w:szCs w:val="24"/>
          <w:lang w:eastAsia="zh-CN"/>
        </w:rPr>
        <w:t>山东好当家海洋发展股份有限公司</w:t>
      </w:r>
    </w:p>
    <w:p w14:paraId="4FD9FDDA">
      <w:pPr>
        <w:pStyle w:val="25"/>
        <w:spacing w:line="360" w:lineRule="auto"/>
        <w:jc w:val="right"/>
        <w:rPr>
          <w:rFonts w:hint="eastAsia" w:ascii="宋体" w:hAnsi="宋体"/>
          <w:sz w:val="24"/>
          <w:szCs w:val="24"/>
          <w:lang w:eastAsia="zh-CN"/>
        </w:rPr>
      </w:pPr>
      <w:r>
        <w:rPr>
          <w:rFonts w:hint="eastAsia" w:ascii="宋体" w:hAnsi="宋体"/>
          <w:sz w:val="24"/>
          <w:szCs w:val="24"/>
          <w:lang w:eastAsia="zh-CN"/>
        </w:rPr>
        <w:t>董事会</w:t>
      </w:r>
    </w:p>
    <w:p w14:paraId="78EC7D9E">
      <w:pPr>
        <w:pStyle w:val="25"/>
        <w:spacing w:line="360" w:lineRule="auto"/>
        <w:jc w:val="right"/>
        <w:rPr>
          <w:rFonts w:hint="eastAsia" w:ascii="宋体" w:hAnsi="宋体"/>
          <w:sz w:val="24"/>
          <w:szCs w:val="24"/>
          <w:lang w:eastAsia="zh-CN"/>
        </w:rPr>
      </w:pPr>
      <w:r>
        <w:rPr>
          <w:rFonts w:hint="eastAsia" w:ascii="宋体" w:hAnsi="宋体"/>
          <w:sz w:val="24"/>
          <w:szCs w:val="24"/>
          <w:lang w:eastAsia="zh-CN"/>
        </w:rPr>
        <w:t xml:space="preserve">                                    2026年5月18日</w:t>
      </w:r>
    </w:p>
    <w:p w14:paraId="239C060B">
      <w:pPr>
        <w:spacing w:line="480" w:lineRule="auto"/>
        <w:jc w:val="center"/>
        <w:rPr>
          <w:rFonts w:eastAsia="黑体"/>
          <w:b/>
          <w:color w:val="000000"/>
          <w:sz w:val="36"/>
          <w:szCs w:val="36"/>
        </w:rPr>
      </w:pPr>
    </w:p>
    <w:p w14:paraId="33A0A059">
      <w:pPr>
        <w:pStyle w:val="25"/>
        <w:spacing w:line="400" w:lineRule="exact"/>
        <w:rPr>
          <w:rFonts w:hint="eastAsia" w:ascii="宋体" w:hAnsi="宋体"/>
          <w:sz w:val="28"/>
          <w:szCs w:val="28"/>
          <w:lang w:eastAsia="zh-CN"/>
        </w:rPr>
      </w:pPr>
    </w:p>
    <w:p w14:paraId="343453B2">
      <w:pPr>
        <w:pStyle w:val="25"/>
        <w:spacing w:line="400" w:lineRule="exact"/>
        <w:rPr>
          <w:rFonts w:hint="eastAsia" w:ascii="宋体" w:hAnsi="宋体"/>
          <w:sz w:val="28"/>
          <w:szCs w:val="28"/>
          <w:lang w:eastAsia="zh-CN"/>
        </w:rPr>
      </w:pPr>
    </w:p>
    <w:p w14:paraId="567B9394">
      <w:pPr>
        <w:pStyle w:val="25"/>
        <w:spacing w:line="400" w:lineRule="exact"/>
        <w:rPr>
          <w:rFonts w:hint="eastAsia" w:ascii="宋体" w:hAnsi="宋体"/>
          <w:sz w:val="28"/>
          <w:szCs w:val="28"/>
          <w:lang w:eastAsia="zh-CN"/>
        </w:rPr>
      </w:pPr>
    </w:p>
    <w:p w14:paraId="5DD96C48">
      <w:pPr>
        <w:pStyle w:val="25"/>
        <w:spacing w:line="400" w:lineRule="exact"/>
        <w:rPr>
          <w:rFonts w:hint="eastAsia" w:ascii="宋体" w:hAnsi="宋体"/>
          <w:sz w:val="28"/>
          <w:szCs w:val="28"/>
          <w:lang w:eastAsia="zh-CN"/>
        </w:rPr>
      </w:pPr>
    </w:p>
    <w:p w14:paraId="791BE5FD">
      <w:pPr>
        <w:pStyle w:val="25"/>
        <w:spacing w:line="400" w:lineRule="exact"/>
        <w:rPr>
          <w:rFonts w:hint="eastAsia" w:ascii="宋体" w:hAnsi="宋体"/>
          <w:sz w:val="28"/>
          <w:szCs w:val="28"/>
          <w:lang w:eastAsia="zh-CN"/>
        </w:rPr>
      </w:pPr>
    </w:p>
    <w:p w14:paraId="3E5300F7">
      <w:pPr>
        <w:pStyle w:val="25"/>
        <w:spacing w:line="400" w:lineRule="exact"/>
        <w:rPr>
          <w:rFonts w:hint="eastAsia" w:ascii="宋体" w:hAnsi="宋体"/>
          <w:sz w:val="28"/>
          <w:szCs w:val="28"/>
          <w:lang w:eastAsia="zh-CN"/>
        </w:rPr>
      </w:pPr>
    </w:p>
    <w:p w14:paraId="1158C67F">
      <w:pPr>
        <w:pStyle w:val="25"/>
        <w:spacing w:line="400" w:lineRule="exact"/>
        <w:rPr>
          <w:rFonts w:hint="eastAsia" w:ascii="宋体" w:hAnsi="宋体"/>
          <w:sz w:val="28"/>
          <w:szCs w:val="28"/>
          <w:lang w:eastAsia="zh-CN"/>
        </w:rPr>
      </w:pPr>
    </w:p>
    <w:p w14:paraId="15C3A38C">
      <w:pPr>
        <w:pStyle w:val="25"/>
        <w:spacing w:line="400" w:lineRule="exact"/>
        <w:rPr>
          <w:rFonts w:hint="eastAsia" w:ascii="宋体" w:hAnsi="宋体"/>
          <w:sz w:val="28"/>
          <w:szCs w:val="28"/>
          <w:lang w:eastAsia="zh-CN"/>
        </w:rPr>
      </w:pPr>
    </w:p>
    <w:p w14:paraId="0D65E830">
      <w:pPr>
        <w:pStyle w:val="25"/>
        <w:spacing w:line="400" w:lineRule="exact"/>
        <w:rPr>
          <w:rFonts w:hint="eastAsia" w:ascii="宋体" w:hAnsi="宋体"/>
          <w:sz w:val="28"/>
          <w:szCs w:val="28"/>
          <w:lang w:eastAsia="zh-CN"/>
        </w:rPr>
      </w:pPr>
    </w:p>
    <w:p w14:paraId="19892101">
      <w:pPr>
        <w:pStyle w:val="25"/>
        <w:spacing w:line="400" w:lineRule="exact"/>
        <w:rPr>
          <w:rFonts w:hint="eastAsia" w:ascii="宋体" w:hAnsi="宋体"/>
          <w:sz w:val="28"/>
          <w:szCs w:val="28"/>
          <w:lang w:eastAsia="zh-CN"/>
        </w:rPr>
      </w:pPr>
    </w:p>
    <w:p w14:paraId="3CC3D33E">
      <w:pPr>
        <w:pStyle w:val="25"/>
        <w:spacing w:line="400" w:lineRule="exact"/>
        <w:rPr>
          <w:rFonts w:hint="eastAsia" w:ascii="宋体" w:hAnsi="宋体"/>
          <w:sz w:val="28"/>
          <w:szCs w:val="28"/>
          <w:lang w:eastAsia="zh-CN"/>
        </w:rPr>
      </w:pPr>
    </w:p>
    <w:p w14:paraId="3F8BCDFC">
      <w:pPr>
        <w:pStyle w:val="25"/>
        <w:spacing w:line="400" w:lineRule="exact"/>
        <w:rPr>
          <w:rFonts w:hint="eastAsia" w:ascii="宋体" w:hAnsi="宋体"/>
          <w:sz w:val="28"/>
          <w:szCs w:val="28"/>
          <w:lang w:eastAsia="zh-CN"/>
        </w:rPr>
      </w:pPr>
    </w:p>
    <w:p w14:paraId="716A1BEE">
      <w:pPr>
        <w:pStyle w:val="25"/>
        <w:spacing w:line="400" w:lineRule="exact"/>
        <w:rPr>
          <w:rFonts w:hint="eastAsia" w:ascii="宋体" w:hAnsi="宋体"/>
          <w:sz w:val="28"/>
          <w:szCs w:val="28"/>
          <w:lang w:eastAsia="zh-CN"/>
        </w:rPr>
      </w:pPr>
    </w:p>
    <w:p w14:paraId="0EBE5C12">
      <w:pPr>
        <w:pStyle w:val="25"/>
        <w:spacing w:line="400" w:lineRule="exact"/>
        <w:rPr>
          <w:rFonts w:hint="eastAsia" w:ascii="宋体" w:hAnsi="宋体"/>
          <w:sz w:val="28"/>
          <w:szCs w:val="28"/>
          <w:lang w:eastAsia="zh-CN"/>
        </w:rPr>
      </w:pPr>
    </w:p>
    <w:p w14:paraId="37DED384">
      <w:pPr>
        <w:pStyle w:val="25"/>
        <w:spacing w:line="400" w:lineRule="exact"/>
        <w:rPr>
          <w:rFonts w:hint="eastAsia" w:ascii="宋体" w:hAnsi="宋体"/>
          <w:sz w:val="28"/>
          <w:szCs w:val="28"/>
          <w:lang w:eastAsia="zh-CN"/>
        </w:rPr>
      </w:pPr>
    </w:p>
    <w:p w14:paraId="0F058561">
      <w:pPr>
        <w:pStyle w:val="25"/>
        <w:spacing w:line="400" w:lineRule="exact"/>
        <w:rPr>
          <w:rFonts w:hint="eastAsia" w:ascii="宋体" w:hAnsi="宋体"/>
          <w:sz w:val="28"/>
          <w:szCs w:val="28"/>
          <w:lang w:eastAsia="zh-CN"/>
        </w:rPr>
      </w:pPr>
    </w:p>
    <w:p w14:paraId="006A8719">
      <w:pPr>
        <w:pStyle w:val="25"/>
        <w:spacing w:line="400" w:lineRule="exact"/>
        <w:rPr>
          <w:rFonts w:hint="eastAsia" w:ascii="宋体" w:hAnsi="宋体"/>
          <w:sz w:val="28"/>
          <w:szCs w:val="28"/>
          <w:lang w:eastAsia="zh-CN"/>
        </w:rPr>
      </w:pPr>
    </w:p>
    <w:p w14:paraId="7A653289">
      <w:pPr>
        <w:pStyle w:val="25"/>
        <w:spacing w:line="400" w:lineRule="exact"/>
        <w:rPr>
          <w:rFonts w:hint="eastAsia" w:ascii="宋体" w:hAnsi="宋体"/>
          <w:sz w:val="28"/>
          <w:szCs w:val="28"/>
          <w:lang w:eastAsia="zh-CN"/>
        </w:rPr>
      </w:pPr>
    </w:p>
    <w:p w14:paraId="1750ABD5">
      <w:pPr>
        <w:tabs>
          <w:tab w:val="left" w:pos="1620"/>
        </w:tabs>
        <w:spacing w:line="240" w:lineRule="exact"/>
        <w:rPr>
          <w:szCs w:val="21"/>
        </w:rPr>
      </w:pPr>
      <w:r>
        <w:rPr>
          <w:rFonts w:hint="eastAsia"/>
          <w:szCs w:val="21"/>
        </w:rPr>
        <w:t>*******************</w:t>
      </w:r>
    </w:p>
    <w:p w14:paraId="0CDCB9D0">
      <w:pPr>
        <w:spacing w:line="240" w:lineRule="exact"/>
        <w:rPr>
          <w:szCs w:val="21"/>
        </w:rPr>
      </w:pPr>
      <w:r>
        <w:rPr>
          <w:rFonts w:hint="eastAsia"/>
          <w:szCs w:val="21"/>
        </w:rPr>
        <w:t>*</w:t>
      </w:r>
      <w:r>
        <w:rPr>
          <w:rFonts w:ascii="Tahoma" w:hAnsi="Tahoma" w:eastAsia="MS PGothic" w:cs="Tahoma"/>
          <w:szCs w:val="21"/>
        </w:rPr>
        <w:t>20</w:t>
      </w:r>
      <w:r>
        <w:rPr>
          <w:rFonts w:hint="eastAsia" w:ascii="Tahoma" w:hAnsi="Tahoma" w:cs="Tahoma"/>
          <w:szCs w:val="21"/>
        </w:rPr>
        <w:t>25年</w:t>
      </w:r>
      <w:r>
        <w:rPr>
          <w:rFonts w:ascii="Tahoma" w:hAnsi="Tahoma" w:eastAsia="MS PGothic" w:cs="Tahoma"/>
          <w:szCs w:val="21"/>
        </w:rPr>
        <w:t>年度股</w:t>
      </w:r>
      <w:r>
        <w:rPr>
          <w:rFonts w:hint="eastAsia" w:ascii="宋体" w:hAnsi="宋体" w:cs="宋体"/>
          <w:szCs w:val="21"/>
        </w:rPr>
        <w:t>东</w:t>
      </w:r>
      <w:r>
        <w:rPr>
          <w:rFonts w:hint="eastAsia" w:ascii="MS PGothic" w:hAnsi="MS PGothic" w:eastAsia="MS PGothic" w:cs="MS PGothic"/>
          <w:szCs w:val="21"/>
        </w:rPr>
        <w:t>会</w:t>
      </w:r>
      <w:r>
        <w:rPr>
          <w:rFonts w:hint="eastAsia"/>
          <w:szCs w:val="21"/>
        </w:rPr>
        <w:t>*</w:t>
      </w:r>
    </w:p>
    <w:p w14:paraId="0AD11338">
      <w:pPr>
        <w:tabs>
          <w:tab w:val="left" w:pos="1260"/>
          <w:tab w:val="left" w:pos="1800"/>
        </w:tabs>
        <w:spacing w:line="240" w:lineRule="exact"/>
        <w:rPr>
          <w:szCs w:val="21"/>
        </w:rPr>
      </w:pPr>
      <w:r>
        <w:rPr>
          <w:rFonts w:hint="eastAsia"/>
          <w:szCs w:val="21"/>
        </w:rPr>
        <w:t>*</w:t>
      </w:r>
      <w:r>
        <w:rPr>
          <w:rFonts w:hint="eastAsia" w:ascii="黑体" w:eastAsia="黑体"/>
          <w:szCs w:val="21"/>
        </w:rPr>
        <w:t>文   件   之   四</w:t>
      </w:r>
      <w:r>
        <w:rPr>
          <w:rFonts w:hint="eastAsia"/>
          <w:szCs w:val="21"/>
        </w:rPr>
        <w:t>*</w:t>
      </w:r>
    </w:p>
    <w:p w14:paraId="11DAF6BB">
      <w:pPr>
        <w:spacing w:line="240" w:lineRule="exact"/>
        <w:rPr>
          <w:szCs w:val="21"/>
        </w:rPr>
      </w:pPr>
      <w:r>
        <w:rPr>
          <w:rFonts w:hint="eastAsia"/>
          <w:szCs w:val="21"/>
        </w:rPr>
        <w:t>*******************</w:t>
      </w:r>
    </w:p>
    <w:p w14:paraId="18381DEE">
      <w:pPr>
        <w:spacing w:line="360" w:lineRule="auto"/>
        <w:jc w:val="center"/>
        <w:rPr>
          <w:rFonts w:ascii="黑体" w:eastAsia="黑体"/>
          <w:b/>
          <w:sz w:val="30"/>
          <w:szCs w:val="30"/>
        </w:rPr>
      </w:pPr>
      <w:r>
        <w:rPr>
          <w:rFonts w:hint="eastAsia" w:ascii="黑体" w:eastAsia="黑体"/>
          <w:b/>
          <w:sz w:val="30"/>
          <w:szCs w:val="30"/>
        </w:rPr>
        <w:t>山东好当家海洋发展股份有限公司</w:t>
      </w:r>
    </w:p>
    <w:p w14:paraId="3BE0FD91">
      <w:pPr>
        <w:spacing w:line="360" w:lineRule="auto"/>
        <w:jc w:val="center"/>
        <w:rPr>
          <w:sz w:val="30"/>
          <w:szCs w:val="30"/>
        </w:rPr>
      </w:pPr>
      <w:r>
        <w:rPr>
          <w:rFonts w:hint="eastAsia" w:ascii="黑体" w:eastAsia="黑体"/>
          <w:b/>
          <w:sz w:val="30"/>
          <w:szCs w:val="30"/>
        </w:rPr>
        <w:t>关于2025年度独立董事述职报告</w:t>
      </w:r>
    </w:p>
    <w:p w14:paraId="416C6FCE">
      <w:pPr>
        <w:spacing w:line="480" w:lineRule="auto"/>
        <w:rPr>
          <w:b/>
          <w:sz w:val="28"/>
          <w:szCs w:val="28"/>
        </w:rPr>
      </w:pPr>
      <w:r>
        <w:rPr>
          <w:rFonts w:hint="eastAsia"/>
          <w:b/>
          <w:sz w:val="28"/>
          <w:szCs w:val="28"/>
        </w:rPr>
        <w:t>各位股东、股东代表：</w:t>
      </w:r>
    </w:p>
    <w:p w14:paraId="7809FA4A">
      <w:pPr>
        <w:spacing w:line="360" w:lineRule="auto"/>
        <w:ind w:firstLine="602" w:firstLineChars="200"/>
        <w:jc w:val="center"/>
        <w:rPr>
          <w:rFonts w:hint="eastAsia" w:ascii="宋体" w:hAnsi="宋体" w:cs="宋体"/>
          <w:b/>
          <w:sz w:val="30"/>
          <w:szCs w:val="30"/>
        </w:rPr>
      </w:pPr>
      <w:r>
        <w:rPr>
          <w:rFonts w:hint="eastAsia" w:ascii="宋体" w:hAnsi="宋体" w:cs="宋体"/>
          <w:b/>
          <w:sz w:val="30"/>
          <w:szCs w:val="30"/>
        </w:rPr>
        <w:t>独立董事孙慧玲述职报告</w:t>
      </w:r>
    </w:p>
    <w:p w14:paraId="31D3DB86">
      <w:pPr>
        <w:spacing w:line="360" w:lineRule="auto"/>
        <w:ind w:firstLine="480" w:firstLineChars="200"/>
        <w:rPr>
          <w:rFonts w:hint="eastAsia" w:ascii="宋体" w:hAnsi="宋体" w:cs="宋体"/>
          <w:sz w:val="24"/>
        </w:rPr>
      </w:pPr>
      <w:r>
        <w:rPr>
          <w:rFonts w:hint="eastAsia" w:ascii="宋体" w:hAnsi="宋体" w:cs="宋体"/>
          <w:sz w:val="24"/>
        </w:rPr>
        <w:t>作为</w:t>
      </w:r>
      <w:r>
        <w:rPr>
          <w:rFonts w:hint="eastAsia" w:ascii="宋体" w:hAnsi="宋体" w:cs="宋体"/>
          <w:bCs/>
          <w:sz w:val="24"/>
        </w:rPr>
        <w:t>山东好当家海洋发展股份有限公司</w:t>
      </w:r>
      <w:r>
        <w:rPr>
          <w:rFonts w:hint="eastAsia" w:ascii="宋体" w:hAnsi="宋体" w:cs="宋体"/>
          <w:sz w:val="24"/>
        </w:rPr>
        <w:t>的独立董事，本人严格遵照《公司法》《证券法》《关于上市公司独立董事制度改革的意见》《上市公司独立董事管理办法》等法律法规及《公司章程》相关规定，秉持客观、独立、审慎的原则，积极出席董事会及各专门委员会会议，严格执行独立董事专门会议机制，忠实勤勉履行法定义务，独立审慎审议各项议题，充分发挥独立董事监督、决策支撑作用，切实维护公司及全体股东，尤其是中小股东的合法权益。现将2025年度履职情况报告如下：</w:t>
      </w:r>
    </w:p>
    <w:p w14:paraId="27997A39">
      <w:pPr>
        <w:spacing w:line="360" w:lineRule="auto"/>
        <w:rPr>
          <w:rFonts w:hint="eastAsia" w:ascii="宋体" w:hAnsi="宋体" w:cs="宋体"/>
          <w:sz w:val="24"/>
        </w:rPr>
      </w:pPr>
      <w:r>
        <w:rPr>
          <w:rFonts w:hint="eastAsia" w:ascii="宋体" w:hAnsi="宋体" w:cs="宋体"/>
          <w:sz w:val="24"/>
        </w:rPr>
        <w:t>一、独立董事的基本情况</w:t>
      </w:r>
    </w:p>
    <w:p w14:paraId="45F2AEAE">
      <w:pPr>
        <w:spacing w:line="360" w:lineRule="auto"/>
        <w:ind w:firstLine="480" w:firstLineChars="200"/>
        <w:rPr>
          <w:rFonts w:hint="eastAsia" w:ascii="宋体" w:hAnsi="宋体" w:cs="宋体"/>
          <w:sz w:val="24"/>
        </w:rPr>
      </w:pPr>
      <w:r>
        <w:rPr>
          <w:rFonts w:hint="eastAsia" w:ascii="宋体" w:hAnsi="宋体" w:cs="宋体"/>
          <w:sz w:val="24"/>
        </w:rPr>
        <w:t>孙慧玲，女，1958年出生。大学本科学历，水产养殖专业，中国水产科学研究院黄海水产研究所二级研究员。一直从事海水主要经济贝类（如鲍鱼、牡蛎、扇贝、魁蚶等）、海参的繁殖习性、人工育苗、增养殖研究工作。</w:t>
      </w:r>
    </w:p>
    <w:p w14:paraId="0A24181D">
      <w:pPr>
        <w:spacing w:line="360" w:lineRule="auto"/>
        <w:ind w:firstLine="480" w:firstLineChars="200"/>
        <w:rPr>
          <w:rFonts w:hint="eastAsia" w:ascii="宋体" w:hAnsi="宋体" w:cs="宋体"/>
          <w:sz w:val="24"/>
        </w:rPr>
      </w:pPr>
      <w:r>
        <w:rPr>
          <w:rFonts w:hint="eastAsia" w:ascii="宋体" w:hAnsi="宋体" w:cs="宋体"/>
          <w:sz w:val="24"/>
        </w:rPr>
        <w:t>2025年度，本人未在公司担任除独立董事外的其他职务，未在公司控股股东及其他关联方公司担任任何职务，与公司、控股股东、实际控制人及公司董事、高级管理人员之间无任何可能影响独立性的利害关系，不存在《上市公司独立董事管理办法》中规定的影响独立董事独立性的情形，能够独立、公正地履行职责。</w:t>
      </w:r>
    </w:p>
    <w:p w14:paraId="25BDCE47">
      <w:pPr>
        <w:spacing w:line="360" w:lineRule="auto"/>
        <w:rPr>
          <w:rFonts w:hint="eastAsia" w:ascii="宋体" w:hAnsi="宋体" w:cs="宋体"/>
          <w:sz w:val="24"/>
        </w:rPr>
      </w:pPr>
      <w:r>
        <w:rPr>
          <w:rFonts w:hint="eastAsia" w:ascii="宋体" w:hAnsi="宋体" w:cs="宋体"/>
          <w:sz w:val="24"/>
        </w:rPr>
        <w:t>二、独立董事年度履职概况</w:t>
      </w:r>
    </w:p>
    <w:p w14:paraId="7D9F470A">
      <w:pPr>
        <w:spacing w:line="360" w:lineRule="auto"/>
        <w:ind w:firstLine="480" w:firstLineChars="200"/>
        <w:rPr>
          <w:rFonts w:hint="eastAsia" w:ascii="宋体" w:hAnsi="宋体" w:cs="宋体"/>
          <w:sz w:val="24"/>
        </w:rPr>
      </w:pPr>
      <w:r>
        <w:rPr>
          <w:rFonts w:hint="eastAsia" w:ascii="宋体" w:hAnsi="宋体" w:cs="宋体"/>
          <w:sz w:val="24"/>
        </w:rPr>
        <w:t>2025年度，本人始终恪守勤勉尽责的履职准则，持续关注公司治理与生产经营状况，认真审核各类议案资料并提出专业意见，独立行使表决权，有效推动公司规范运作。具体履职情况如下：</w:t>
      </w:r>
    </w:p>
    <w:p w14:paraId="62755540">
      <w:pPr>
        <w:spacing w:line="360" w:lineRule="auto"/>
        <w:rPr>
          <w:rFonts w:hint="eastAsia" w:ascii="宋体" w:hAnsi="宋体" w:cs="宋体"/>
          <w:sz w:val="24"/>
        </w:rPr>
      </w:pPr>
      <w:r>
        <w:rPr>
          <w:rFonts w:hint="eastAsia" w:ascii="宋体" w:hAnsi="宋体" w:cs="宋体"/>
          <w:sz w:val="24"/>
        </w:rPr>
        <w:t>（一）出席董事会会议情况</w:t>
      </w:r>
    </w:p>
    <w:p w14:paraId="4A545396">
      <w:pPr>
        <w:spacing w:line="360" w:lineRule="auto"/>
        <w:ind w:firstLine="480" w:firstLineChars="200"/>
        <w:rPr>
          <w:rFonts w:hint="eastAsia" w:ascii="宋体" w:hAnsi="宋体" w:cs="宋体"/>
          <w:sz w:val="24"/>
        </w:rPr>
      </w:pPr>
      <w:r>
        <w:rPr>
          <w:rFonts w:hint="eastAsia" w:ascii="宋体" w:hAnsi="宋体" w:cs="宋体"/>
          <w:sz w:val="24"/>
        </w:rPr>
        <w:t>2025年度公司共召开董事会会议6次，本人出席6次，无委托出席、无缺席。本人对提交董事会的所有议案均进行了审慎、细致的审核，结合专业知识提出合理建议，全部议案均投赞成票，未出现反对、弃权情形，切实保障董事会决策的科学性和合规性。</w:t>
      </w:r>
    </w:p>
    <w:p w14:paraId="20178B71">
      <w:pPr>
        <w:spacing w:line="360" w:lineRule="auto"/>
        <w:rPr>
          <w:rFonts w:hint="eastAsia" w:ascii="宋体" w:hAnsi="宋体" w:cs="宋体"/>
          <w:sz w:val="24"/>
        </w:rPr>
      </w:pPr>
      <w:r>
        <w:rPr>
          <w:rFonts w:hint="eastAsia" w:ascii="宋体" w:hAnsi="宋体" w:cs="宋体"/>
          <w:sz w:val="24"/>
        </w:rPr>
        <w:t>（二）列席股东会情况</w:t>
      </w:r>
    </w:p>
    <w:p w14:paraId="424D41BF">
      <w:pPr>
        <w:spacing w:line="360" w:lineRule="auto"/>
        <w:ind w:firstLine="480" w:firstLineChars="200"/>
        <w:rPr>
          <w:rFonts w:hint="eastAsia" w:ascii="宋体" w:hAnsi="宋体" w:cs="宋体"/>
          <w:sz w:val="24"/>
        </w:rPr>
      </w:pPr>
      <w:r>
        <w:rPr>
          <w:rFonts w:hint="eastAsia" w:ascii="宋体" w:hAnsi="宋体" w:cs="宋体"/>
          <w:sz w:val="24"/>
        </w:rPr>
        <w:t>2025年度公司共召开股东会2次，本人按时列席全部股东会，认真听取股东意见和建议，就股东关注的重大问题进行专业解答，充分发挥独立董事在公司与股东之间的沟通桥梁作用。</w:t>
      </w:r>
    </w:p>
    <w:p w14:paraId="28E0121B">
      <w:pPr>
        <w:spacing w:line="360" w:lineRule="auto"/>
        <w:rPr>
          <w:rFonts w:hint="eastAsia" w:ascii="宋体" w:hAnsi="宋体" w:cs="宋体"/>
          <w:sz w:val="24"/>
        </w:rPr>
      </w:pPr>
      <w:r>
        <w:rPr>
          <w:rFonts w:hint="eastAsia" w:ascii="宋体" w:hAnsi="宋体" w:cs="宋体"/>
          <w:sz w:val="24"/>
        </w:rPr>
        <w:t>（三）参与董事会专门委员会工作情况</w:t>
      </w:r>
    </w:p>
    <w:p w14:paraId="372367DB">
      <w:pPr>
        <w:spacing w:line="360" w:lineRule="auto"/>
        <w:ind w:firstLine="480" w:firstLineChars="200"/>
        <w:rPr>
          <w:rFonts w:hint="eastAsia" w:ascii="宋体" w:hAnsi="宋体" w:cs="宋体"/>
          <w:sz w:val="24"/>
        </w:rPr>
      </w:pPr>
      <w:r>
        <w:rPr>
          <w:rFonts w:hint="eastAsia" w:ascii="宋体" w:hAnsi="宋体" w:cs="宋体"/>
          <w:sz w:val="24"/>
        </w:rPr>
        <w:t>本人作为公司董事会审计委员会委员和提名委员会主任委员，根据《董事会审计委员会工作制度》和《董事会提名委员会工作制度》等规章制度，恪尽职守，积极履行职责，充分发挥本人所擅长的专业领域，切实维护了公司股东特别是中小股东的合法权益。</w:t>
      </w:r>
    </w:p>
    <w:p w14:paraId="6454126D">
      <w:pPr>
        <w:spacing w:line="360" w:lineRule="auto"/>
        <w:ind w:firstLine="480" w:firstLineChars="200"/>
        <w:rPr>
          <w:rFonts w:hint="eastAsia" w:ascii="宋体" w:hAnsi="宋体" w:cs="宋体"/>
          <w:sz w:val="24"/>
        </w:rPr>
      </w:pPr>
      <w:r>
        <w:rPr>
          <w:rFonts w:hint="eastAsia" w:ascii="宋体" w:hAnsi="宋体" w:cs="宋体"/>
          <w:sz w:val="24"/>
        </w:rPr>
        <w:t>2025年度，本人出席审计委员会会议5次，审议审计计划、定期报告、内控评价等议题12项；主持召开提名委员会会议3次，审议董事、高管提名等相关议题2项。各专门委员会均形成专业审议意见，为董事会重大决策提供坚实支撑。</w:t>
      </w:r>
    </w:p>
    <w:p w14:paraId="0853BF96">
      <w:pPr>
        <w:spacing w:line="360" w:lineRule="auto"/>
        <w:rPr>
          <w:rFonts w:hint="eastAsia" w:ascii="宋体" w:hAnsi="宋体" w:cs="宋体"/>
          <w:sz w:val="24"/>
        </w:rPr>
      </w:pPr>
      <w:r>
        <w:rPr>
          <w:rFonts w:hint="eastAsia" w:ascii="宋体" w:hAnsi="宋体" w:cs="宋体"/>
          <w:sz w:val="24"/>
        </w:rPr>
        <w:t>（四）召开独立董事专门会议情况</w:t>
      </w:r>
    </w:p>
    <w:p w14:paraId="0FE984C2">
      <w:pPr>
        <w:spacing w:line="360" w:lineRule="auto"/>
        <w:ind w:firstLine="480" w:firstLineChars="200"/>
        <w:rPr>
          <w:rFonts w:hint="eastAsia" w:ascii="宋体" w:hAnsi="宋体" w:cs="宋体"/>
          <w:sz w:val="24"/>
        </w:rPr>
      </w:pPr>
      <w:r>
        <w:rPr>
          <w:rFonts w:hint="eastAsia" w:ascii="宋体" w:hAnsi="宋体" w:cs="宋体"/>
          <w:sz w:val="24"/>
        </w:rPr>
        <w:t>本年度严格按照相关法律法规及公司制度要求，坚持独立董事专门会议机制。2025年度，本人召集独立董事专门会议1次，审议日常关联交易议题1项，审议议题经审慎审议后与其他独立董事形成一致意见，充分发挥独立董事的独立监督作用。</w:t>
      </w:r>
    </w:p>
    <w:p w14:paraId="0C96C0D9">
      <w:pPr>
        <w:spacing w:line="360" w:lineRule="auto"/>
        <w:rPr>
          <w:rFonts w:hint="eastAsia" w:ascii="宋体" w:hAnsi="宋体" w:cs="宋体"/>
          <w:sz w:val="24"/>
        </w:rPr>
      </w:pPr>
      <w:r>
        <w:rPr>
          <w:rFonts w:hint="eastAsia" w:ascii="宋体" w:hAnsi="宋体" w:cs="宋体"/>
          <w:sz w:val="24"/>
        </w:rPr>
        <w:t>（五）行使独立董事职权情况</w:t>
      </w:r>
    </w:p>
    <w:p w14:paraId="0E710B6B">
      <w:pPr>
        <w:spacing w:line="360" w:lineRule="auto"/>
        <w:ind w:firstLine="480" w:firstLineChars="200"/>
        <w:rPr>
          <w:rFonts w:hint="eastAsia" w:ascii="宋体" w:hAnsi="宋体" w:cs="宋体"/>
          <w:sz w:val="24"/>
        </w:rPr>
      </w:pPr>
      <w:r>
        <w:rPr>
          <w:rFonts w:hint="eastAsia" w:ascii="宋体" w:hAnsi="宋体" w:cs="宋体"/>
          <w:sz w:val="24"/>
        </w:rPr>
        <w:t>2025年度，本人根据相关规定，独立行使提案权、质询权、建议权等各项职权，针对公司经营管理、财务状况、内控建设等方面的问题，及时向公司管理层提出质询和整改建议，相关建议均得到公司管理层的重视并积极落实。</w:t>
      </w:r>
    </w:p>
    <w:p w14:paraId="21CFBF65">
      <w:pPr>
        <w:spacing w:line="360" w:lineRule="auto"/>
        <w:rPr>
          <w:rFonts w:hint="eastAsia" w:ascii="宋体" w:hAnsi="宋体" w:cs="宋体"/>
          <w:sz w:val="24"/>
        </w:rPr>
      </w:pPr>
      <w:r>
        <w:rPr>
          <w:rFonts w:hint="eastAsia" w:ascii="宋体" w:hAnsi="宋体" w:cs="宋体"/>
          <w:sz w:val="24"/>
        </w:rPr>
        <w:t>（六）与内部审计机构及会计师事务所沟通情况</w:t>
      </w:r>
    </w:p>
    <w:p w14:paraId="39EE5005">
      <w:pPr>
        <w:spacing w:line="360" w:lineRule="auto"/>
        <w:ind w:firstLine="480" w:firstLineChars="200"/>
        <w:rPr>
          <w:rFonts w:hint="eastAsia" w:ascii="宋体" w:hAnsi="宋体" w:cs="宋体"/>
          <w:sz w:val="24"/>
        </w:rPr>
      </w:pPr>
      <w:r>
        <w:rPr>
          <w:rFonts w:hint="eastAsia" w:ascii="宋体" w:hAnsi="宋体" w:cs="宋体"/>
          <w:sz w:val="24"/>
        </w:rPr>
        <w:t>2025年度，本人加强与公司内部审计机构、年度审计机构和信会计师事务所（特殊普通合伙）的常态化沟通。多次与内部审计机构研讨内审计划，指导内部审计工作提质增效；与会计师事务所就审计范围、审计重点、财务报表编制、内控审计等事项进行深入沟通，监督外部审计工作的独立性、客观性和公允性，协调内外部审计机构的工作衔接，对公司内部控制有效性进行独立评估，为公司财务规范运作提供专业保障。</w:t>
      </w:r>
    </w:p>
    <w:p w14:paraId="0680B0DA">
      <w:pPr>
        <w:spacing w:line="360" w:lineRule="auto"/>
        <w:rPr>
          <w:rFonts w:hint="eastAsia" w:ascii="宋体" w:hAnsi="宋体" w:cs="宋体"/>
          <w:sz w:val="24"/>
        </w:rPr>
      </w:pPr>
      <w:r>
        <w:rPr>
          <w:rFonts w:hint="eastAsia" w:ascii="宋体" w:hAnsi="宋体" w:cs="宋体"/>
          <w:sz w:val="24"/>
        </w:rPr>
        <w:t>（七）与中小股东的沟通交流情况</w:t>
      </w:r>
    </w:p>
    <w:p w14:paraId="120D574A">
      <w:pPr>
        <w:spacing w:line="360" w:lineRule="auto"/>
        <w:ind w:firstLine="480" w:firstLineChars="200"/>
        <w:rPr>
          <w:rFonts w:hint="eastAsia" w:ascii="宋体" w:hAnsi="宋体" w:cs="宋体"/>
          <w:sz w:val="24"/>
        </w:rPr>
      </w:pPr>
      <w:r>
        <w:rPr>
          <w:rFonts w:hint="eastAsia" w:ascii="宋体" w:hAnsi="宋体" w:cs="宋体"/>
          <w:sz w:val="24"/>
        </w:rPr>
        <w:t>2025年度，本人持续关注媒体、网络平台对公司的报道和投资者评论，主动与公司管理层沟通相关情况，提出维护公司资本市场形象、保护中小股东权益的建议，切实搭建起公司与中小股东的有效沟通桥梁。</w:t>
      </w:r>
    </w:p>
    <w:p w14:paraId="24DA7F49">
      <w:pPr>
        <w:spacing w:line="360" w:lineRule="auto"/>
        <w:rPr>
          <w:rFonts w:hint="eastAsia" w:ascii="宋体" w:hAnsi="宋体" w:cs="宋体"/>
          <w:sz w:val="24"/>
        </w:rPr>
      </w:pPr>
      <w:r>
        <w:rPr>
          <w:rFonts w:hint="eastAsia" w:ascii="宋体" w:hAnsi="宋体" w:cs="宋体"/>
          <w:sz w:val="24"/>
        </w:rPr>
        <w:t>（八）现场工作情况</w:t>
      </w:r>
    </w:p>
    <w:p w14:paraId="6D51DF58">
      <w:pPr>
        <w:spacing w:line="360" w:lineRule="auto"/>
        <w:ind w:firstLine="480" w:firstLineChars="200"/>
        <w:rPr>
          <w:rFonts w:hint="eastAsia" w:ascii="宋体" w:hAnsi="宋体" w:cs="宋体"/>
          <w:sz w:val="24"/>
        </w:rPr>
      </w:pPr>
      <w:r>
        <w:rPr>
          <w:rFonts w:hint="eastAsia" w:ascii="宋体" w:hAnsi="宋体" w:cs="宋体"/>
          <w:sz w:val="24"/>
        </w:rPr>
        <w:t>2025年度，本人结合公司生产经营实际情况，赴公司现场办公、走访调研，实地了解公司生产经营、项目建设、风险控制等实际情况，与公司管理层、核心业务人员进行面对面交流，全面掌握公司经营管理的第一手资料，为履职决策提供真实、客观的依据。</w:t>
      </w:r>
    </w:p>
    <w:p w14:paraId="78F22C46">
      <w:pPr>
        <w:spacing w:line="360" w:lineRule="auto"/>
        <w:rPr>
          <w:rFonts w:hint="eastAsia" w:ascii="宋体" w:hAnsi="宋体" w:cs="宋体"/>
          <w:sz w:val="24"/>
        </w:rPr>
      </w:pPr>
      <w:r>
        <w:rPr>
          <w:rFonts w:hint="eastAsia" w:ascii="宋体" w:hAnsi="宋体" w:cs="宋体"/>
          <w:sz w:val="24"/>
        </w:rPr>
        <w:t>（九）公司配合履职情况</w:t>
      </w:r>
    </w:p>
    <w:p w14:paraId="7D997CA0">
      <w:pPr>
        <w:spacing w:line="360" w:lineRule="auto"/>
        <w:ind w:firstLine="480" w:firstLineChars="200"/>
        <w:rPr>
          <w:rFonts w:hint="eastAsia" w:ascii="宋体" w:hAnsi="宋体" w:cs="宋体"/>
          <w:sz w:val="24"/>
        </w:rPr>
      </w:pPr>
      <w:r>
        <w:rPr>
          <w:rFonts w:hint="eastAsia" w:ascii="宋体" w:hAnsi="宋体" w:cs="宋体"/>
          <w:sz w:val="24"/>
        </w:rPr>
        <w:t>本年度，公司对本人履职工作给予全面、积极的配合，保障本人享有与其他董事同等的知情权。公司管理层及时向本人报送经营管理、财务状况、重大事项等相关资料，对本人提出的问题和建议及时予以答复、落实和整改，在现场调研、会议组织、资料准备等方面为本人履职提供了必要的条件和全方位的支持，确保本人履职工作顺利开展。</w:t>
      </w:r>
    </w:p>
    <w:p w14:paraId="044F086E">
      <w:pPr>
        <w:spacing w:line="360" w:lineRule="auto"/>
        <w:rPr>
          <w:rFonts w:hint="eastAsia" w:ascii="宋体" w:hAnsi="宋体" w:cs="宋体"/>
          <w:sz w:val="24"/>
        </w:rPr>
      </w:pPr>
      <w:r>
        <w:rPr>
          <w:rFonts w:hint="eastAsia" w:ascii="宋体" w:hAnsi="宋体" w:cs="宋体"/>
          <w:sz w:val="24"/>
        </w:rPr>
        <w:t>三、独立董事年度履职重点关注事项的情况</w:t>
      </w:r>
    </w:p>
    <w:p w14:paraId="670312A4">
      <w:pPr>
        <w:spacing w:line="360" w:lineRule="auto"/>
        <w:ind w:firstLine="480" w:firstLineChars="200"/>
        <w:rPr>
          <w:rFonts w:hint="eastAsia" w:ascii="宋体" w:hAnsi="宋体" w:cs="宋体"/>
          <w:sz w:val="24"/>
        </w:rPr>
      </w:pPr>
      <w:r>
        <w:rPr>
          <w:rFonts w:hint="eastAsia" w:ascii="宋体" w:hAnsi="宋体" w:cs="宋体"/>
          <w:sz w:val="24"/>
        </w:rPr>
        <w:t>2025年度，本人将维护公司和股东合法权益作为核心履职目标，重点关注公司关联交易、承诺履行、信息披露、财务审计、高管任免与薪酬等重大事项，对相关事项的决策、执行及披露情况进行全程监督，独立作出合法合规判断，有效防范控股股东、实际控制人与公司之间的潜在重大利益冲突，具体情况如下：</w:t>
      </w:r>
    </w:p>
    <w:p w14:paraId="7BEEFDA2">
      <w:pPr>
        <w:spacing w:line="360" w:lineRule="auto"/>
        <w:rPr>
          <w:rFonts w:hint="eastAsia" w:ascii="宋体" w:hAnsi="宋体" w:cs="宋体"/>
          <w:sz w:val="24"/>
        </w:rPr>
      </w:pPr>
      <w:r>
        <w:rPr>
          <w:rFonts w:hint="eastAsia" w:ascii="宋体" w:hAnsi="宋体" w:cs="宋体"/>
          <w:sz w:val="24"/>
        </w:rPr>
        <w:t>（一）应当披露的关联交易</w:t>
      </w:r>
    </w:p>
    <w:p w14:paraId="1A852AD0">
      <w:pPr>
        <w:spacing w:line="360" w:lineRule="auto"/>
        <w:ind w:firstLine="480" w:firstLineChars="200"/>
        <w:rPr>
          <w:rFonts w:hint="eastAsia" w:ascii="宋体" w:hAnsi="宋体" w:cs="宋体"/>
          <w:sz w:val="24"/>
        </w:rPr>
      </w:pPr>
      <w:r>
        <w:rPr>
          <w:rFonts w:hint="eastAsia" w:ascii="宋体" w:hAnsi="宋体" w:cs="宋体"/>
          <w:sz w:val="24"/>
        </w:rPr>
        <w:t>本年度，本人严格按照《上海证券交易所股票上市规则》《上海证券交易所上市公司自律监管指引第1号——规范运作》等法律法规及《公司章程》规定，对公司关联交易事项进行严格监督和审慎核查。对公司发生的关联交易，均通过独立董事专门会议进行前置审核，详细核查交易背景、交易定价、决策程序等内容，确认关联交易的定价公允、合理，决策程序符合相关规定，未发现存在利用关联交易损害公司及中小股东合法权益的情形。所有应披露的关联交易均已按要求及时、准确披露，信息披露内容完整、详实。</w:t>
      </w:r>
    </w:p>
    <w:p w14:paraId="01C823E4">
      <w:pPr>
        <w:spacing w:line="360" w:lineRule="auto"/>
        <w:rPr>
          <w:rFonts w:hint="eastAsia" w:ascii="宋体" w:hAnsi="宋体" w:cs="宋体"/>
          <w:sz w:val="24"/>
        </w:rPr>
      </w:pPr>
      <w:r>
        <w:rPr>
          <w:rFonts w:hint="eastAsia" w:ascii="宋体" w:hAnsi="宋体" w:cs="宋体"/>
          <w:sz w:val="24"/>
        </w:rPr>
        <w:t>（二）上市公司及相关方变更或者豁免承诺的方案</w:t>
      </w:r>
    </w:p>
    <w:p w14:paraId="76158963">
      <w:pPr>
        <w:spacing w:line="360" w:lineRule="auto"/>
        <w:ind w:firstLine="480" w:firstLineChars="200"/>
        <w:rPr>
          <w:rFonts w:hint="eastAsia" w:ascii="宋体" w:hAnsi="宋体" w:cs="宋体"/>
          <w:sz w:val="24"/>
        </w:rPr>
      </w:pPr>
      <w:r>
        <w:rPr>
          <w:rFonts w:hint="eastAsia" w:ascii="宋体" w:hAnsi="宋体" w:cs="宋体"/>
          <w:sz w:val="24"/>
        </w:rPr>
        <w:t>2025年度，公司及控股股东、实际控制人、相关董事、高级管理人员等相关方均严格履行此前作出的各项承诺，无变更或豁免承诺的情形，未出现承诺未履行、违反承诺的情况，相关方的承诺履行情况良好。</w:t>
      </w:r>
    </w:p>
    <w:p w14:paraId="33449793">
      <w:pPr>
        <w:spacing w:line="360" w:lineRule="auto"/>
        <w:rPr>
          <w:rFonts w:hint="eastAsia" w:ascii="宋体" w:hAnsi="宋体" w:cs="宋体"/>
          <w:sz w:val="24"/>
        </w:rPr>
      </w:pPr>
      <w:r>
        <w:rPr>
          <w:rFonts w:hint="eastAsia" w:ascii="宋体" w:hAnsi="宋体" w:cs="宋体"/>
          <w:sz w:val="24"/>
        </w:rPr>
        <w:t>（三）存续子公司经营管理和整改情况</w:t>
      </w:r>
    </w:p>
    <w:p w14:paraId="6977AF80">
      <w:pPr>
        <w:spacing w:line="360" w:lineRule="auto"/>
        <w:ind w:firstLine="480" w:firstLineChars="200"/>
        <w:rPr>
          <w:rFonts w:hint="eastAsia" w:ascii="宋体" w:hAnsi="宋体" w:cs="宋体"/>
          <w:sz w:val="24"/>
        </w:rPr>
      </w:pPr>
      <w:r>
        <w:rPr>
          <w:rFonts w:hint="eastAsia" w:ascii="宋体" w:hAnsi="宋体" w:cs="宋体"/>
          <w:sz w:val="24"/>
        </w:rPr>
        <w:t>2025年度，审计委员会持续对历史形成的子公司经营、债务和整改情况保持关注，与管理层针对子公司债务豁免、后续经营安排等问题进行多次密切沟通，并关注在处理子公司相关事项过程中对于中小股东的保护。</w:t>
      </w:r>
    </w:p>
    <w:p w14:paraId="2F94BE2F">
      <w:pPr>
        <w:spacing w:line="360" w:lineRule="auto"/>
        <w:rPr>
          <w:rFonts w:hint="eastAsia" w:ascii="宋体" w:hAnsi="宋体" w:cs="宋体"/>
          <w:sz w:val="24"/>
        </w:rPr>
      </w:pPr>
      <w:r>
        <w:rPr>
          <w:rFonts w:hint="eastAsia" w:ascii="宋体" w:hAnsi="宋体" w:cs="宋体"/>
          <w:sz w:val="24"/>
        </w:rPr>
        <w:t>（四）被收购上市公司董事会针对收购所作出的决策及采取的措施</w:t>
      </w:r>
    </w:p>
    <w:p w14:paraId="7850CE23">
      <w:pPr>
        <w:spacing w:line="360" w:lineRule="auto"/>
        <w:ind w:firstLine="480" w:firstLineChars="200"/>
        <w:rPr>
          <w:rFonts w:hint="eastAsia" w:ascii="宋体" w:hAnsi="宋体" w:cs="宋体"/>
          <w:sz w:val="24"/>
        </w:rPr>
      </w:pPr>
      <w:r>
        <w:rPr>
          <w:rFonts w:hint="eastAsia" w:ascii="宋体" w:hAnsi="宋体" w:cs="宋体"/>
          <w:sz w:val="24"/>
        </w:rPr>
        <w:t>2025年度，公司未发生被收购相关情形，董事会无针对公司收购作出的相关决策及采取的措施，公司股权结构保持稳定。</w:t>
      </w:r>
    </w:p>
    <w:p w14:paraId="4F011657">
      <w:pPr>
        <w:spacing w:line="360" w:lineRule="auto"/>
        <w:rPr>
          <w:rFonts w:hint="eastAsia" w:ascii="宋体" w:hAnsi="宋体" w:cs="宋体"/>
          <w:sz w:val="24"/>
        </w:rPr>
      </w:pPr>
      <w:r>
        <w:rPr>
          <w:rFonts w:hint="eastAsia" w:ascii="宋体" w:hAnsi="宋体" w:cs="宋体"/>
          <w:sz w:val="24"/>
        </w:rPr>
        <w:t>（五）披露财务会计报告及定期报告中的财务信息、内部控制评价报告</w:t>
      </w:r>
    </w:p>
    <w:p w14:paraId="77C2EABC">
      <w:pPr>
        <w:spacing w:line="360" w:lineRule="auto"/>
        <w:ind w:firstLine="480" w:firstLineChars="200"/>
        <w:rPr>
          <w:rFonts w:hint="eastAsia" w:ascii="宋体" w:hAnsi="宋体" w:cs="宋体"/>
          <w:sz w:val="24"/>
        </w:rPr>
      </w:pPr>
      <w:r>
        <w:rPr>
          <w:rFonts w:hint="eastAsia" w:ascii="宋体" w:hAnsi="宋体" w:cs="宋体"/>
          <w:sz w:val="24"/>
        </w:rPr>
        <w:t>本年度，公司按规定披露了4份定期报告，披露内部控制评价报告1份。本人对定期报告中的财务数据、经营成果、财务状况等核心信息进行了审慎审核，与公司财务部门、审计机构就财务报表编制、会计处理等事项进行深入沟通，确认公司财务信息真实、准确、完整，符合企业会计准则的规定；对公司内部控制评价报告进行全面核查，确认公司内部控制制度体系完善，执行有效，能够有效防范经营管理风险，内部控制评价报告的编制符合相关规定，不存在虚假记载、误导性陈述或者重大遗漏。同时，公司所有定期报告及内控评价报告均按要求及时披露，信息披露格式规范、内容简明清晰。</w:t>
      </w:r>
    </w:p>
    <w:p w14:paraId="0BB4140E">
      <w:pPr>
        <w:spacing w:line="360" w:lineRule="auto"/>
        <w:rPr>
          <w:rFonts w:hint="eastAsia" w:ascii="宋体" w:hAnsi="宋体" w:cs="宋体"/>
          <w:sz w:val="24"/>
        </w:rPr>
      </w:pPr>
      <w:r>
        <w:rPr>
          <w:rFonts w:hint="eastAsia" w:ascii="宋体" w:hAnsi="宋体" w:cs="宋体"/>
          <w:sz w:val="24"/>
        </w:rPr>
        <w:t>（六）聘用、解聘承办上市公司审计业务的会计师事务所</w:t>
      </w:r>
    </w:p>
    <w:p w14:paraId="167203FA">
      <w:pPr>
        <w:spacing w:line="360" w:lineRule="auto"/>
        <w:ind w:firstLine="480" w:firstLineChars="200"/>
        <w:rPr>
          <w:rFonts w:hint="eastAsia" w:ascii="宋体" w:hAnsi="宋体" w:cs="宋体"/>
          <w:sz w:val="24"/>
        </w:rPr>
      </w:pPr>
      <w:r>
        <w:rPr>
          <w:rFonts w:hint="eastAsia" w:ascii="宋体" w:hAnsi="宋体" w:cs="宋体"/>
          <w:sz w:val="24"/>
        </w:rPr>
        <w:t>2025年度，公司继续聘任和信会计师事务所（特殊普通合伙）作为公司财务审计和内控审计机构，未发生解聘、更换会计师事务所的情形。通过审计委员会对该会计师事务所的年度审计工作进行全面评估，确认其在审计服务过程中严格遵守独立、客观、公正的执业准则，审计程序执行到位，审计结论公允可靠，能够高质量完成公司财务审计和内控审计工作。</w:t>
      </w:r>
    </w:p>
    <w:p w14:paraId="2F0F4BB6">
      <w:pPr>
        <w:spacing w:line="360" w:lineRule="auto"/>
        <w:rPr>
          <w:rFonts w:hint="eastAsia" w:ascii="宋体" w:hAnsi="宋体" w:cs="宋体"/>
          <w:sz w:val="24"/>
        </w:rPr>
      </w:pPr>
      <w:r>
        <w:rPr>
          <w:rFonts w:hint="eastAsia" w:ascii="宋体" w:hAnsi="宋体" w:cs="宋体"/>
          <w:sz w:val="24"/>
        </w:rPr>
        <w:t>（七）聘任或者解聘上市公司财务负责人</w:t>
      </w:r>
    </w:p>
    <w:p w14:paraId="78D8604D">
      <w:pPr>
        <w:spacing w:line="360" w:lineRule="auto"/>
        <w:ind w:firstLine="480" w:firstLineChars="200"/>
        <w:rPr>
          <w:rFonts w:hint="eastAsia" w:ascii="宋体" w:hAnsi="宋体" w:cs="宋体"/>
          <w:sz w:val="24"/>
        </w:rPr>
      </w:pPr>
      <w:r>
        <w:rPr>
          <w:rFonts w:hint="eastAsia" w:ascii="宋体" w:hAnsi="宋体" w:cs="宋体"/>
          <w:sz w:val="24"/>
        </w:rPr>
        <w:t>2025年度，公司财务负责人岗位未发生聘任或解聘情形，现有财务负责人履职情况良好，具备相应的专业资质和经营管理能力，能够胜任财务负责人岗位职责，公司财务管理工作有序开展。</w:t>
      </w:r>
    </w:p>
    <w:p w14:paraId="1FF36C5A">
      <w:pPr>
        <w:spacing w:line="360" w:lineRule="auto"/>
        <w:rPr>
          <w:rFonts w:hint="eastAsia" w:ascii="宋体" w:hAnsi="宋体" w:cs="宋体"/>
          <w:sz w:val="24"/>
        </w:rPr>
      </w:pPr>
      <w:r>
        <w:rPr>
          <w:rFonts w:hint="eastAsia" w:ascii="宋体" w:hAnsi="宋体" w:cs="宋体"/>
          <w:sz w:val="24"/>
        </w:rPr>
        <w:t>（八）因会计准则变更以外的原因作出会计政策、会计估计变更或者重大会计差错更正</w:t>
      </w:r>
    </w:p>
    <w:p w14:paraId="58906E45">
      <w:pPr>
        <w:spacing w:line="360" w:lineRule="auto"/>
        <w:ind w:firstLine="480" w:firstLineChars="200"/>
        <w:rPr>
          <w:rFonts w:hint="eastAsia" w:ascii="宋体" w:hAnsi="宋体" w:cs="宋体"/>
          <w:sz w:val="24"/>
        </w:rPr>
      </w:pPr>
      <w:r>
        <w:rPr>
          <w:rFonts w:hint="eastAsia" w:ascii="宋体" w:hAnsi="宋体" w:cs="宋体"/>
          <w:sz w:val="24"/>
        </w:rPr>
        <w:t>2025年度，公司未因会计准则变更以外的原因作出会计政策、会计估计变更，亦未发生重大会计差错更正情形。公司会计政策、会计估计保持稳定，财务核算规范，财务数据真实反映公司实际经营状况。</w:t>
      </w:r>
    </w:p>
    <w:p w14:paraId="37E32209">
      <w:pPr>
        <w:spacing w:line="360" w:lineRule="auto"/>
        <w:rPr>
          <w:rFonts w:hint="eastAsia" w:ascii="宋体" w:hAnsi="宋体" w:cs="宋体"/>
          <w:sz w:val="24"/>
        </w:rPr>
      </w:pPr>
      <w:r>
        <w:rPr>
          <w:rFonts w:hint="eastAsia" w:ascii="宋体" w:hAnsi="宋体" w:cs="宋体"/>
          <w:sz w:val="24"/>
        </w:rPr>
        <w:t>（九）提名或者任免董事，聘任或者解聘高级管理人员</w:t>
      </w:r>
    </w:p>
    <w:p w14:paraId="1F9D8C5D">
      <w:pPr>
        <w:spacing w:line="360" w:lineRule="auto"/>
        <w:ind w:firstLine="480" w:firstLineChars="200"/>
        <w:rPr>
          <w:rFonts w:hint="eastAsia" w:ascii="宋体" w:hAnsi="宋体" w:cs="宋体"/>
          <w:sz w:val="24"/>
        </w:rPr>
      </w:pPr>
      <w:r>
        <w:rPr>
          <w:rFonts w:hint="eastAsia" w:ascii="宋体" w:hAnsi="宋体" w:cs="宋体"/>
          <w:sz w:val="24"/>
        </w:rPr>
        <w:t>2025年度，公司根据经营发展需要，提名董事候选人2名，补选高级管理人员2名，均由公司提名委员会按照规定程序进行审慎审核，提交董事会、股东会审议表决。提名委员会对相关提名及任免事项的任职资格进行了事前审核，确认提名的董事、高级管理人员具备相应的任职资质和履职能力，相关任免事项的决策程序符合《公司法》《公司章程》等相关规定，未发现存在损害公司及股东利益的情形，本人均对相关议案投赞成票。</w:t>
      </w:r>
    </w:p>
    <w:p w14:paraId="7A1E7E22">
      <w:pPr>
        <w:spacing w:line="360" w:lineRule="auto"/>
        <w:rPr>
          <w:rFonts w:hint="eastAsia" w:ascii="宋体" w:hAnsi="宋体" w:cs="宋体"/>
          <w:sz w:val="24"/>
        </w:rPr>
      </w:pPr>
      <w:r>
        <w:rPr>
          <w:rFonts w:hint="eastAsia" w:ascii="宋体" w:hAnsi="宋体" w:cs="宋体"/>
          <w:sz w:val="24"/>
        </w:rPr>
        <w:t>（十）董事、高级管理人员的薪酬情况</w:t>
      </w:r>
    </w:p>
    <w:p w14:paraId="7ED9E0F3">
      <w:pPr>
        <w:spacing w:line="360" w:lineRule="auto"/>
        <w:ind w:firstLine="480" w:firstLineChars="200"/>
        <w:rPr>
          <w:rFonts w:hint="eastAsia" w:ascii="宋体" w:hAnsi="宋体" w:cs="宋体"/>
          <w:sz w:val="24"/>
        </w:rPr>
      </w:pPr>
      <w:r>
        <w:rPr>
          <w:rFonts w:hint="eastAsia" w:ascii="宋体" w:hAnsi="宋体" w:cs="宋体"/>
          <w:sz w:val="24"/>
        </w:rPr>
        <w:t>本年度，公司董事、高级管理人员薪酬严格按照《薪酬管理办法》执行，结合公司2024年度经营业绩、个人履职情况进行考核核定，基础年薪按时发放，绩效年薪根据考核结果兑现。</w:t>
      </w:r>
    </w:p>
    <w:p w14:paraId="0797BB33">
      <w:pPr>
        <w:spacing w:line="360" w:lineRule="auto"/>
        <w:rPr>
          <w:rFonts w:hint="eastAsia" w:ascii="宋体" w:hAnsi="宋体" w:cs="宋体"/>
          <w:sz w:val="24"/>
        </w:rPr>
      </w:pPr>
      <w:r>
        <w:rPr>
          <w:rFonts w:hint="eastAsia" w:ascii="宋体" w:hAnsi="宋体" w:cs="宋体"/>
          <w:sz w:val="24"/>
        </w:rPr>
        <w:t>四、总体评价和建议</w:t>
      </w:r>
    </w:p>
    <w:p w14:paraId="62F53CD0">
      <w:pPr>
        <w:spacing w:line="360" w:lineRule="auto"/>
        <w:ind w:firstLine="480" w:firstLineChars="200"/>
        <w:rPr>
          <w:rFonts w:hint="eastAsia" w:ascii="宋体" w:hAnsi="宋体" w:cs="宋体"/>
          <w:sz w:val="24"/>
        </w:rPr>
      </w:pPr>
      <w:r>
        <w:rPr>
          <w:rFonts w:hint="eastAsia" w:ascii="宋体" w:hAnsi="宋体" w:cs="宋体"/>
          <w:sz w:val="24"/>
        </w:rPr>
        <w:t>2025年度，本人严格按照相关法律法规、《公司章程》及独立董事履职相关规定，始终秉持独立、客观、审慎的原则，忠实、勤勉地履行各项职责。全年积极参与公司董事会、股东会及各专门委员会的各项工作，独立审议各类重大事项，主动行使独立董事职权，重点关注公司关联交易、信息披露、财务审计、高管薪酬等核心事项，有效发挥了独立董事的监督、决策和沟通作用。通过现场调研、常态化沟通等方式，全面掌握公司经营管理实际情况，及时回应中小股东关切，切实维护了公司的整体利益和全体股东，尤其是中小股东的合法权益。本年度，公司治理结构完善，规范运作水平持续提升，管理层能够积极配合本人履职，对本人提出的建议及时落实整改，本人各项履职工作均顺利开展，未出现未忠实勤勉履职的情形。</w:t>
      </w:r>
    </w:p>
    <w:p w14:paraId="752AD49F">
      <w:pPr>
        <w:spacing w:line="360" w:lineRule="auto"/>
        <w:ind w:firstLine="480" w:firstLineChars="200"/>
        <w:rPr>
          <w:rFonts w:hint="eastAsia" w:ascii="宋体" w:hAnsi="宋体" w:cs="宋体"/>
          <w:sz w:val="24"/>
        </w:rPr>
      </w:pPr>
      <w:r>
        <w:rPr>
          <w:rFonts w:hint="eastAsia" w:ascii="宋体" w:hAnsi="宋体" w:cs="宋体"/>
          <w:sz w:val="24"/>
        </w:rPr>
        <w:t>2026年，本人将继续坚守履职初心，秉持谨慎、勤勉、忠实的原则，以对公司和全体股东高度负责的态度，进一步提升履职能力和专业水平，切实履行独立董事义务，推动公司进一步完善治理结构，提升规范运作水平，促进公司实现可持续高质量发展。</w:t>
      </w:r>
    </w:p>
    <w:p w14:paraId="072BC888">
      <w:pPr>
        <w:pStyle w:val="26"/>
        <w:spacing w:line="360" w:lineRule="auto"/>
        <w:jc w:val="right"/>
        <w:rPr>
          <w:rFonts w:hint="eastAsia" w:ascii="宋体" w:hAnsi="宋体" w:eastAsia="宋体" w:cs="宋体"/>
          <w:color w:val="auto"/>
        </w:rPr>
      </w:pPr>
    </w:p>
    <w:p w14:paraId="35B8CB1F">
      <w:pPr>
        <w:pStyle w:val="26"/>
        <w:spacing w:line="360" w:lineRule="auto"/>
        <w:jc w:val="right"/>
        <w:rPr>
          <w:rFonts w:hint="eastAsia" w:ascii="宋体" w:hAnsi="宋体" w:eastAsia="宋体" w:cs="宋体"/>
          <w:color w:val="auto"/>
        </w:rPr>
      </w:pPr>
      <w:r>
        <w:rPr>
          <w:rFonts w:hint="eastAsia" w:ascii="宋体" w:hAnsi="宋体" w:eastAsia="宋体" w:cs="宋体"/>
          <w:color w:val="auto"/>
        </w:rPr>
        <w:t>独立董事：孙慧玲</w:t>
      </w:r>
    </w:p>
    <w:p w14:paraId="0D552334">
      <w:pPr>
        <w:spacing w:line="360" w:lineRule="auto"/>
        <w:jc w:val="right"/>
        <w:rPr>
          <w:rFonts w:hint="eastAsia" w:ascii="宋体" w:hAnsi="宋体" w:cs="宋体"/>
          <w:sz w:val="24"/>
        </w:rPr>
      </w:pPr>
      <w:r>
        <w:rPr>
          <w:rFonts w:hint="eastAsia" w:ascii="宋体" w:hAnsi="宋体" w:cs="宋体"/>
          <w:sz w:val="24"/>
        </w:rPr>
        <w:t>2026年5月18日</w:t>
      </w:r>
    </w:p>
    <w:p w14:paraId="16344B8C">
      <w:pPr>
        <w:spacing w:line="360" w:lineRule="auto"/>
        <w:jc w:val="right"/>
        <w:rPr>
          <w:rFonts w:hint="eastAsia" w:ascii="宋体" w:hAnsi="宋体"/>
          <w:sz w:val="24"/>
        </w:rPr>
      </w:pPr>
    </w:p>
    <w:p w14:paraId="6F43028A">
      <w:pPr>
        <w:spacing w:line="360" w:lineRule="auto"/>
        <w:jc w:val="right"/>
        <w:rPr>
          <w:rFonts w:hint="eastAsia" w:ascii="宋体" w:hAnsi="宋体"/>
          <w:sz w:val="24"/>
        </w:rPr>
      </w:pPr>
    </w:p>
    <w:p w14:paraId="78C54950">
      <w:pPr>
        <w:spacing w:line="360" w:lineRule="auto"/>
        <w:jc w:val="right"/>
        <w:rPr>
          <w:rFonts w:hint="eastAsia" w:ascii="宋体" w:hAnsi="宋体"/>
          <w:sz w:val="24"/>
        </w:rPr>
      </w:pPr>
    </w:p>
    <w:p w14:paraId="439A7288">
      <w:pPr>
        <w:spacing w:line="360" w:lineRule="auto"/>
        <w:jc w:val="right"/>
        <w:rPr>
          <w:rFonts w:hint="eastAsia" w:ascii="宋体" w:hAnsi="宋体"/>
          <w:sz w:val="24"/>
        </w:rPr>
      </w:pPr>
    </w:p>
    <w:p w14:paraId="1728979C">
      <w:pPr>
        <w:spacing w:line="360" w:lineRule="auto"/>
        <w:jc w:val="right"/>
        <w:rPr>
          <w:rFonts w:hint="eastAsia" w:ascii="宋体" w:hAnsi="宋体"/>
          <w:sz w:val="24"/>
        </w:rPr>
      </w:pPr>
    </w:p>
    <w:p w14:paraId="0B4D0B19">
      <w:pPr>
        <w:spacing w:line="360" w:lineRule="auto"/>
        <w:jc w:val="right"/>
        <w:rPr>
          <w:rFonts w:hint="eastAsia" w:ascii="宋体" w:hAnsi="宋体"/>
          <w:sz w:val="24"/>
        </w:rPr>
      </w:pPr>
    </w:p>
    <w:p w14:paraId="25AF863D">
      <w:pPr>
        <w:spacing w:line="360" w:lineRule="auto"/>
        <w:jc w:val="right"/>
        <w:rPr>
          <w:rFonts w:hint="eastAsia" w:ascii="宋体" w:hAnsi="宋体"/>
          <w:sz w:val="24"/>
        </w:rPr>
      </w:pPr>
    </w:p>
    <w:p w14:paraId="59BDA8ED">
      <w:pPr>
        <w:spacing w:line="360" w:lineRule="auto"/>
        <w:jc w:val="right"/>
        <w:rPr>
          <w:rFonts w:hint="eastAsia" w:ascii="宋体" w:hAnsi="宋体"/>
          <w:sz w:val="24"/>
        </w:rPr>
      </w:pPr>
    </w:p>
    <w:p w14:paraId="5C0672F9">
      <w:pPr>
        <w:spacing w:line="360" w:lineRule="auto"/>
        <w:jc w:val="right"/>
        <w:rPr>
          <w:rFonts w:hint="eastAsia" w:ascii="宋体" w:hAnsi="宋体"/>
          <w:sz w:val="24"/>
        </w:rPr>
      </w:pPr>
    </w:p>
    <w:p w14:paraId="7E75A35A">
      <w:pPr>
        <w:spacing w:line="360" w:lineRule="auto"/>
        <w:jc w:val="right"/>
        <w:rPr>
          <w:rFonts w:hint="eastAsia" w:ascii="宋体" w:hAnsi="宋体"/>
          <w:sz w:val="24"/>
        </w:rPr>
      </w:pPr>
    </w:p>
    <w:p w14:paraId="0208BF4A">
      <w:pPr>
        <w:spacing w:line="360" w:lineRule="auto"/>
        <w:jc w:val="right"/>
        <w:rPr>
          <w:rFonts w:hint="eastAsia" w:ascii="宋体" w:hAnsi="宋体"/>
          <w:sz w:val="24"/>
        </w:rPr>
      </w:pPr>
    </w:p>
    <w:p w14:paraId="249F3CA5">
      <w:pPr>
        <w:spacing w:line="360" w:lineRule="auto"/>
        <w:jc w:val="right"/>
        <w:rPr>
          <w:rFonts w:hint="eastAsia" w:ascii="宋体" w:hAnsi="宋体"/>
          <w:sz w:val="24"/>
        </w:rPr>
      </w:pPr>
    </w:p>
    <w:p w14:paraId="0BE659B8">
      <w:pPr>
        <w:spacing w:line="360" w:lineRule="auto"/>
        <w:jc w:val="right"/>
        <w:rPr>
          <w:rFonts w:hint="eastAsia" w:ascii="宋体" w:hAnsi="宋体"/>
          <w:sz w:val="24"/>
        </w:rPr>
      </w:pPr>
    </w:p>
    <w:p w14:paraId="1F0C8ECF">
      <w:pPr>
        <w:spacing w:line="360" w:lineRule="auto"/>
        <w:jc w:val="right"/>
        <w:rPr>
          <w:rFonts w:hint="eastAsia" w:ascii="宋体" w:hAnsi="宋体"/>
          <w:sz w:val="24"/>
        </w:rPr>
      </w:pPr>
    </w:p>
    <w:p w14:paraId="3FCF600F">
      <w:pPr>
        <w:spacing w:line="360" w:lineRule="auto"/>
        <w:jc w:val="right"/>
        <w:rPr>
          <w:rFonts w:hint="eastAsia" w:ascii="宋体" w:hAnsi="宋体"/>
          <w:sz w:val="24"/>
        </w:rPr>
      </w:pPr>
    </w:p>
    <w:p w14:paraId="11A4F685">
      <w:pPr>
        <w:spacing w:line="360" w:lineRule="auto"/>
        <w:jc w:val="right"/>
        <w:rPr>
          <w:rFonts w:hint="eastAsia" w:ascii="宋体" w:hAnsi="宋体"/>
          <w:sz w:val="24"/>
        </w:rPr>
      </w:pPr>
    </w:p>
    <w:p w14:paraId="00920258">
      <w:pPr>
        <w:spacing w:line="360" w:lineRule="auto"/>
        <w:jc w:val="right"/>
        <w:rPr>
          <w:rFonts w:hint="eastAsia" w:ascii="宋体" w:hAnsi="宋体"/>
          <w:sz w:val="24"/>
        </w:rPr>
      </w:pPr>
    </w:p>
    <w:p w14:paraId="7C709C04">
      <w:pPr>
        <w:spacing w:line="360" w:lineRule="auto"/>
        <w:jc w:val="right"/>
        <w:rPr>
          <w:rFonts w:hint="eastAsia" w:ascii="宋体" w:hAnsi="宋体"/>
          <w:sz w:val="24"/>
        </w:rPr>
      </w:pPr>
    </w:p>
    <w:p w14:paraId="071E528C">
      <w:pPr>
        <w:spacing w:line="360" w:lineRule="auto"/>
        <w:jc w:val="right"/>
        <w:rPr>
          <w:rFonts w:hint="eastAsia" w:ascii="宋体" w:hAnsi="宋体"/>
          <w:sz w:val="24"/>
        </w:rPr>
      </w:pPr>
    </w:p>
    <w:p w14:paraId="31518513">
      <w:pPr>
        <w:spacing w:line="360" w:lineRule="auto"/>
        <w:jc w:val="right"/>
        <w:rPr>
          <w:rFonts w:hint="eastAsia" w:ascii="宋体" w:hAnsi="宋体"/>
          <w:sz w:val="24"/>
        </w:rPr>
      </w:pPr>
    </w:p>
    <w:p w14:paraId="1F6AF6EE">
      <w:pPr>
        <w:ind w:firstLine="562" w:firstLineChars="200"/>
        <w:jc w:val="center"/>
        <w:rPr>
          <w:rFonts w:hint="eastAsia" w:hAnsi="宋体"/>
          <w:b/>
          <w:sz w:val="28"/>
          <w:szCs w:val="28"/>
        </w:rPr>
      </w:pPr>
      <w:r>
        <w:rPr>
          <w:rFonts w:hint="eastAsia" w:hAnsi="宋体"/>
          <w:b/>
          <w:sz w:val="28"/>
          <w:szCs w:val="28"/>
        </w:rPr>
        <w:t>独立董事孙晓东述职报告</w:t>
      </w:r>
    </w:p>
    <w:p w14:paraId="658FD7CF">
      <w:pPr>
        <w:spacing w:line="360" w:lineRule="auto"/>
        <w:ind w:firstLine="480" w:firstLineChars="200"/>
        <w:rPr>
          <w:rFonts w:hint="eastAsia" w:ascii="宋体" w:hAnsi="宋体" w:cs="宋体"/>
          <w:sz w:val="24"/>
        </w:rPr>
      </w:pPr>
      <w:r>
        <w:rPr>
          <w:rFonts w:hint="eastAsia" w:ascii="宋体" w:hAnsi="宋体" w:cs="宋体"/>
          <w:sz w:val="24"/>
        </w:rPr>
        <w:t>作为</w:t>
      </w:r>
      <w:r>
        <w:rPr>
          <w:rFonts w:hint="eastAsia" w:ascii="宋体" w:hAnsi="宋体" w:cs="宋体"/>
          <w:bCs/>
          <w:sz w:val="24"/>
        </w:rPr>
        <w:t>山东好当家海洋发展股份有限公司</w:t>
      </w:r>
      <w:r>
        <w:rPr>
          <w:rFonts w:hint="eastAsia" w:ascii="宋体" w:hAnsi="宋体" w:cs="宋体"/>
          <w:sz w:val="24"/>
        </w:rPr>
        <w:t>的独立董事，本人严格遵照《公司法》《证券法》《关于上市公司独立董事制度改革的意见》《上市公司独立董事管理办法》等法律法规及《公司章程》相关规定，秉持客观、独立、审慎的原则，积极出席董事会及各专门委员会会议，严格执行独立董事专门会议机制，忠实勤勉履行法定义务，独立审慎审议各项议题，充分发挥独立董事监督、决策支撑作用，切实维护公司及全体股东，尤其是中小股东的合法权益。现将2025年度履职情况报告如下：</w:t>
      </w:r>
    </w:p>
    <w:p w14:paraId="5A5707C0">
      <w:pPr>
        <w:spacing w:line="360" w:lineRule="auto"/>
        <w:rPr>
          <w:rFonts w:hint="eastAsia" w:ascii="宋体" w:hAnsi="宋体" w:cs="宋体"/>
          <w:sz w:val="24"/>
        </w:rPr>
      </w:pPr>
      <w:r>
        <w:rPr>
          <w:rFonts w:hint="eastAsia" w:ascii="宋体" w:hAnsi="宋体" w:cs="宋体"/>
          <w:sz w:val="24"/>
        </w:rPr>
        <w:t>一、独立董事的基本情况</w:t>
      </w:r>
    </w:p>
    <w:p w14:paraId="57D12BA3">
      <w:pPr>
        <w:spacing w:line="360" w:lineRule="auto"/>
        <w:ind w:firstLine="480" w:firstLineChars="200"/>
        <w:rPr>
          <w:rFonts w:hint="eastAsia" w:ascii="宋体" w:hAnsi="宋体" w:cs="宋体"/>
          <w:sz w:val="24"/>
        </w:rPr>
      </w:pPr>
      <w:r>
        <w:rPr>
          <w:rFonts w:hint="eastAsia" w:ascii="宋体" w:hAnsi="宋体" w:cs="宋体"/>
          <w:sz w:val="24"/>
        </w:rPr>
        <w:t>孙晓东，男，1970年出生。毕业于中央财经大学，本科学历。高级会计师、注册会计师，现任山东志诚会计师事务所有限公司，所长职务。</w:t>
      </w:r>
    </w:p>
    <w:p w14:paraId="0E83F2B8">
      <w:pPr>
        <w:spacing w:line="360" w:lineRule="auto"/>
        <w:ind w:firstLine="480" w:firstLineChars="200"/>
        <w:rPr>
          <w:rFonts w:hint="eastAsia" w:ascii="宋体" w:hAnsi="宋体" w:cs="宋体"/>
          <w:sz w:val="24"/>
        </w:rPr>
      </w:pPr>
      <w:r>
        <w:rPr>
          <w:rFonts w:hint="eastAsia" w:ascii="宋体" w:hAnsi="宋体" w:cs="宋体"/>
          <w:sz w:val="24"/>
        </w:rPr>
        <w:t>2025年度，本人未在公司担任除独立董事外的其他职务，未在公司控股股东及其他关联方公司担任任何职务，与公司、控股股东、实际控制人及公司董事、高级管理人员之间无任何可能影响独立性的利害关系，不存在《上市公司独立董事管理办法》中规定的影响独立董事独立性的情形，能够独立、公正地履行职责。</w:t>
      </w:r>
    </w:p>
    <w:p w14:paraId="770342E6">
      <w:pPr>
        <w:spacing w:line="360" w:lineRule="auto"/>
        <w:rPr>
          <w:rFonts w:hint="eastAsia" w:ascii="宋体" w:hAnsi="宋体" w:cs="宋体"/>
          <w:sz w:val="24"/>
        </w:rPr>
      </w:pPr>
      <w:r>
        <w:rPr>
          <w:rFonts w:hint="eastAsia" w:ascii="宋体" w:hAnsi="宋体" w:cs="宋体"/>
          <w:sz w:val="24"/>
        </w:rPr>
        <w:t>二、独立董事年度履职概况</w:t>
      </w:r>
    </w:p>
    <w:p w14:paraId="532A6B63">
      <w:pPr>
        <w:spacing w:line="360" w:lineRule="auto"/>
        <w:ind w:firstLine="480" w:firstLineChars="200"/>
        <w:rPr>
          <w:rFonts w:hint="eastAsia" w:ascii="宋体" w:hAnsi="宋体" w:cs="宋体"/>
          <w:sz w:val="24"/>
        </w:rPr>
      </w:pPr>
      <w:r>
        <w:rPr>
          <w:rFonts w:hint="eastAsia" w:ascii="宋体" w:hAnsi="宋体" w:cs="宋体"/>
          <w:sz w:val="24"/>
        </w:rPr>
        <w:t>2025年度，本人始终恪守勤勉尽责的履职准则，持续关注公司治理与生产经营状况，认真审核各类议案资料并提出专业意见，独立行使表决权，有效推动公司规范运作。具体履职情况如下：</w:t>
      </w:r>
    </w:p>
    <w:p w14:paraId="1D669C4B">
      <w:pPr>
        <w:spacing w:line="360" w:lineRule="auto"/>
        <w:rPr>
          <w:rFonts w:hint="eastAsia" w:ascii="宋体" w:hAnsi="宋体" w:cs="宋体"/>
          <w:sz w:val="24"/>
        </w:rPr>
      </w:pPr>
      <w:r>
        <w:rPr>
          <w:rFonts w:hint="eastAsia" w:ascii="宋体" w:hAnsi="宋体" w:cs="宋体"/>
          <w:sz w:val="24"/>
        </w:rPr>
        <w:t>（一）出席董事会会议情况</w:t>
      </w:r>
    </w:p>
    <w:p w14:paraId="0486AF3C">
      <w:pPr>
        <w:spacing w:line="360" w:lineRule="auto"/>
        <w:ind w:firstLine="480" w:firstLineChars="200"/>
        <w:rPr>
          <w:rFonts w:hint="eastAsia" w:ascii="宋体" w:hAnsi="宋体" w:cs="宋体"/>
          <w:sz w:val="24"/>
        </w:rPr>
      </w:pPr>
      <w:r>
        <w:rPr>
          <w:rFonts w:hint="eastAsia" w:ascii="宋体" w:hAnsi="宋体" w:cs="宋体"/>
          <w:sz w:val="24"/>
        </w:rPr>
        <w:t>2025年度公司共召开董事会会议6次，本人出席6次，无委托出席、无缺席。本人对提交董事会的所有议案均进行了审慎、细致的审核，结合专业知识提出合理建议，全部议案均投赞成票，未出现反对、弃权情形，切实保障董事会决策的科学性和合规性。</w:t>
      </w:r>
    </w:p>
    <w:p w14:paraId="3DFD36F0">
      <w:pPr>
        <w:spacing w:line="360" w:lineRule="auto"/>
        <w:rPr>
          <w:rFonts w:hint="eastAsia" w:ascii="宋体" w:hAnsi="宋体" w:cs="宋体"/>
          <w:sz w:val="24"/>
        </w:rPr>
      </w:pPr>
      <w:r>
        <w:rPr>
          <w:rFonts w:hint="eastAsia" w:ascii="宋体" w:hAnsi="宋体" w:cs="宋体"/>
          <w:sz w:val="24"/>
        </w:rPr>
        <w:t>（二）列席股东会情况</w:t>
      </w:r>
    </w:p>
    <w:p w14:paraId="36315A1F">
      <w:pPr>
        <w:spacing w:line="360" w:lineRule="auto"/>
        <w:ind w:firstLine="480" w:firstLineChars="200"/>
        <w:rPr>
          <w:rFonts w:hint="eastAsia" w:ascii="宋体" w:hAnsi="宋体" w:cs="宋体"/>
          <w:sz w:val="24"/>
        </w:rPr>
      </w:pPr>
      <w:r>
        <w:rPr>
          <w:rFonts w:hint="eastAsia" w:ascii="宋体" w:hAnsi="宋体" w:cs="宋体"/>
          <w:sz w:val="24"/>
        </w:rPr>
        <w:t>2025年度公司共召开股东会2次，本人按时列席全部股东会，认真听取股东意见和建议，就股东关注的重大问题进行专业解答，充分发挥独立董事在公司与股东之间的沟通桥梁作用。</w:t>
      </w:r>
    </w:p>
    <w:p w14:paraId="1E5B354D">
      <w:pPr>
        <w:spacing w:line="360" w:lineRule="auto"/>
        <w:rPr>
          <w:rFonts w:hint="eastAsia" w:ascii="宋体" w:hAnsi="宋体" w:cs="宋体"/>
          <w:sz w:val="24"/>
        </w:rPr>
      </w:pPr>
      <w:r>
        <w:rPr>
          <w:rFonts w:hint="eastAsia" w:ascii="宋体" w:hAnsi="宋体" w:cs="宋体"/>
          <w:sz w:val="24"/>
        </w:rPr>
        <w:t>（三）参与董事会专门委员会工作情况</w:t>
      </w:r>
    </w:p>
    <w:p w14:paraId="2C187CE0">
      <w:pPr>
        <w:spacing w:line="360" w:lineRule="auto"/>
        <w:ind w:firstLine="480" w:firstLineChars="200"/>
        <w:rPr>
          <w:rFonts w:hint="eastAsia" w:ascii="宋体" w:hAnsi="宋体" w:cs="宋体"/>
          <w:sz w:val="24"/>
        </w:rPr>
      </w:pPr>
      <w:r>
        <w:rPr>
          <w:rFonts w:hint="eastAsia" w:ascii="宋体" w:hAnsi="宋体" w:cs="宋体"/>
          <w:sz w:val="24"/>
        </w:rPr>
        <w:t>本人作为公司董事会提名委员会委员、审计委员会主任委员和薪酬与考核委员会委员，根据《董事会提名委员会工作制度》《董事会审计委员会工作制度》和《董事会薪酬与考核委员会工作制度》等规章制度，严格按照各专门委员会工作制度履行职责，积极参加聘任会计师事务所、高级管理人员聘任等重大事项的专项会议，本人对相关事项进行了认真审议，审议通过后向董事会提出了意见，保证决策的科学性。</w:t>
      </w:r>
    </w:p>
    <w:p w14:paraId="427B762A">
      <w:pPr>
        <w:spacing w:line="360" w:lineRule="auto"/>
        <w:ind w:firstLine="480" w:firstLineChars="200"/>
        <w:rPr>
          <w:rFonts w:hint="eastAsia" w:ascii="宋体" w:hAnsi="宋体" w:cs="宋体"/>
          <w:sz w:val="24"/>
        </w:rPr>
      </w:pPr>
      <w:r>
        <w:rPr>
          <w:rFonts w:hint="eastAsia" w:ascii="宋体" w:hAnsi="宋体" w:cs="宋体"/>
          <w:sz w:val="24"/>
        </w:rPr>
        <w:t>2025 年度，本人出席提名委员会会议3次，审议董事、高管提名等相关议题2项；主持召开审计委员会会议5次，审议审计计划、定期报告、内控评价等议题12项。各专门委员会均形成专业审议意见，为董事会重大决策提供坚实支撑。</w:t>
      </w:r>
    </w:p>
    <w:p w14:paraId="15710C77">
      <w:pPr>
        <w:spacing w:line="360" w:lineRule="auto"/>
        <w:rPr>
          <w:rFonts w:hint="eastAsia" w:ascii="宋体" w:hAnsi="宋体" w:cs="宋体"/>
          <w:sz w:val="24"/>
        </w:rPr>
      </w:pPr>
      <w:r>
        <w:rPr>
          <w:rFonts w:hint="eastAsia" w:ascii="宋体" w:hAnsi="宋体" w:cs="宋体"/>
          <w:sz w:val="24"/>
        </w:rPr>
        <w:t>（四）召开独立董事专门会议情况</w:t>
      </w:r>
    </w:p>
    <w:p w14:paraId="2CF7F797">
      <w:pPr>
        <w:spacing w:line="360" w:lineRule="auto"/>
        <w:ind w:firstLine="480" w:firstLineChars="200"/>
        <w:rPr>
          <w:rFonts w:hint="eastAsia" w:ascii="宋体" w:hAnsi="宋体" w:cs="宋体"/>
          <w:sz w:val="24"/>
        </w:rPr>
      </w:pPr>
      <w:r>
        <w:rPr>
          <w:rFonts w:hint="eastAsia" w:ascii="宋体" w:hAnsi="宋体" w:cs="宋体"/>
          <w:sz w:val="24"/>
        </w:rPr>
        <w:t>本年度严格按照相关法律法规及公司制度要求，坚持独立董事专门会议机制。2025年度，本人出席独立董事专门会议1次，审议日常关联交易议题1项，审议议题经审慎审议后与其他独立董事形成一致意见，充分发挥独立董事的独立监督作用。</w:t>
      </w:r>
    </w:p>
    <w:p w14:paraId="3FE224D6">
      <w:pPr>
        <w:spacing w:line="360" w:lineRule="auto"/>
        <w:rPr>
          <w:rFonts w:hint="eastAsia" w:ascii="宋体" w:hAnsi="宋体" w:cs="宋体"/>
          <w:sz w:val="24"/>
        </w:rPr>
      </w:pPr>
      <w:r>
        <w:rPr>
          <w:rFonts w:hint="eastAsia" w:ascii="宋体" w:hAnsi="宋体" w:cs="宋体"/>
          <w:sz w:val="24"/>
        </w:rPr>
        <w:t>（五）行使独立董事职权情况</w:t>
      </w:r>
    </w:p>
    <w:p w14:paraId="61ABFC6F">
      <w:pPr>
        <w:spacing w:line="360" w:lineRule="auto"/>
        <w:ind w:firstLine="480" w:firstLineChars="200"/>
        <w:rPr>
          <w:rFonts w:hint="eastAsia" w:ascii="宋体" w:hAnsi="宋体" w:cs="宋体"/>
          <w:sz w:val="24"/>
        </w:rPr>
      </w:pPr>
      <w:r>
        <w:rPr>
          <w:rFonts w:hint="eastAsia" w:ascii="宋体" w:hAnsi="宋体" w:cs="宋体"/>
          <w:sz w:val="24"/>
        </w:rPr>
        <w:t>2025年度，本人根据相关规定，独立行使提案权、质询权、建议权等各项职权，针对公司经营管理、财务状况、内控建设等方面的问题，及时向公司管理层提出质询和整改建议，相关建议均得到公司管理层的重视并积极落实。</w:t>
      </w:r>
    </w:p>
    <w:p w14:paraId="1E000E3C">
      <w:pPr>
        <w:spacing w:line="360" w:lineRule="auto"/>
        <w:rPr>
          <w:rFonts w:hint="eastAsia" w:ascii="宋体" w:hAnsi="宋体" w:cs="宋体"/>
          <w:sz w:val="24"/>
        </w:rPr>
      </w:pPr>
      <w:r>
        <w:rPr>
          <w:rFonts w:hint="eastAsia" w:ascii="宋体" w:hAnsi="宋体" w:cs="宋体"/>
          <w:sz w:val="24"/>
        </w:rPr>
        <w:t>（六）与内部审计机构及会计师事务所沟通情况</w:t>
      </w:r>
    </w:p>
    <w:p w14:paraId="032EDA75">
      <w:pPr>
        <w:spacing w:line="360" w:lineRule="auto"/>
        <w:ind w:firstLine="480" w:firstLineChars="200"/>
        <w:rPr>
          <w:rFonts w:hint="eastAsia" w:ascii="宋体" w:hAnsi="宋体" w:cs="宋体"/>
          <w:sz w:val="24"/>
        </w:rPr>
      </w:pPr>
      <w:r>
        <w:rPr>
          <w:rFonts w:hint="eastAsia" w:ascii="宋体" w:hAnsi="宋体" w:cs="宋体"/>
          <w:sz w:val="24"/>
        </w:rPr>
        <w:t>2025年度，本人加强与公司内部审计机构、年度审计机构和信会计师事务所（特殊普通合伙）的常态化沟通。多次与内部审计机构研讨内审计划，与会计师事务所就审计范围、审计重点、内控审计等事项进行深入沟通，监督外部审计工作的独立性、客观性和公允性，协调内外部审计机构的工作衔接，对公司内部控制有效性进行独立评估，为公司财务规范运作提供保障。</w:t>
      </w:r>
    </w:p>
    <w:p w14:paraId="377F78FF">
      <w:pPr>
        <w:spacing w:line="360" w:lineRule="auto"/>
        <w:rPr>
          <w:rFonts w:hint="eastAsia" w:ascii="宋体" w:hAnsi="宋体" w:cs="宋体"/>
          <w:sz w:val="24"/>
        </w:rPr>
      </w:pPr>
      <w:r>
        <w:rPr>
          <w:rFonts w:hint="eastAsia" w:ascii="宋体" w:hAnsi="宋体" w:cs="宋体"/>
          <w:sz w:val="24"/>
        </w:rPr>
        <w:t>（七）与中小股东的沟通交流情况</w:t>
      </w:r>
    </w:p>
    <w:p w14:paraId="305194D9">
      <w:pPr>
        <w:spacing w:line="360" w:lineRule="auto"/>
        <w:ind w:firstLine="480" w:firstLineChars="200"/>
        <w:rPr>
          <w:rFonts w:hint="eastAsia" w:ascii="宋体" w:hAnsi="宋体" w:cs="宋体"/>
          <w:sz w:val="24"/>
        </w:rPr>
      </w:pPr>
      <w:r>
        <w:rPr>
          <w:rFonts w:hint="eastAsia" w:ascii="宋体" w:hAnsi="宋体" w:cs="宋体"/>
          <w:sz w:val="24"/>
        </w:rPr>
        <w:t>2025年度，本人积极参与公司组织的2024年年度报告业绩说明会、2025年半年度报告业绩说明会，与广大中小股东就公司经营业绩、发展战略、利润分配等问题进行直接沟通，及时回应股东关切。同时，持续关注媒体、网络平台对公司的报道和投资者评论，主动与公司管理层沟通相关情况，提出维护公司资本市场形象、保护中小股东权益的建议，切实搭建起公司与中小股东的有效沟通桥梁。</w:t>
      </w:r>
    </w:p>
    <w:p w14:paraId="44C81AE1">
      <w:pPr>
        <w:spacing w:line="360" w:lineRule="auto"/>
        <w:rPr>
          <w:rFonts w:hint="eastAsia" w:ascii="宋体" w:hAnsi="宋体" w:cs="宋体"/>
          <w:sz w:val="24"/>
        </w:rPr>
      </w:pPr>
      <w:r>
        <w:rPr>
          <w:rFonts w:hint="eastAsia" w:ascii="宋体" w:hAnsi="宋体" w:cs="宋体"/>
          <w:sz w:val="24"/>
        </w:rPr>
        <w:t>（八）现场工作情况</w:t>
      </w:r>
    </w:p>
    <w:p w14:paraId="4BBBFF9B">
      <w:pPr>
        <w:spacing w:line="360" w:lineRule="auto"/>
        <w:ind w:firstLine="480" w:firstLineChars="200"/>
        <w:rPr>
          <w:rFonts w:hint="eastAsia" w:ascii="宋体" w:hAnsi="宋体" w:cs="宋体"/>
          <w:sz w:val="24"/>
        </w:rPr>
      </w:pPr>
      <w:r>
        <w:rPr>
          <w:rFonts w:hint="eastAsia" w:ascii="宋体" w:hAnsi="宋体" w:cs="宋体"/>
          <w:sz w:val="24"/>
        </w:rPr>
        <w:t>2025年度，本人结合公司生产经营实际，赴公司现场办公、走访调研，实地了解公司生产经营、项目建设、风险控制等实际情况，与公司管理层、核心业务人员进行面对面交流，全面掌握公司经营管理的第一手资料，为履职决策提供真实、客观的依据。</w:t>
      </w:r>
    </w:p>
    <w:p w14:paraId="0649BD4C">
      <w:pPr>
        <w:spacing w:line="360" w:lineRule="auto"/>
        <w:rPr>
          <w:rFonts w:hint="eastAsia" w:ascii="宋体" w:hAnsi="宋体" w:cs="宋体"/>
          <w:sz w:val="24"/>
        </w:rPr>
      </w:pPr>
      <w:r>
        <w:rPr>
          <w:rFonts w:hint="eastAsia" w:ascii="宋体" w:hAnsi="宋体" w:cs="宋体"/>
          <w:sz w:val="24"/>
        </w:rPr>
        <w:t>（九）公司配合履职情况</w:t>
      </w:r>
    </w:p>
    <w:p w14:paraId="55EFB3DF">
      <w:pPr>
        <w:spacing w:line="360" w:lineRule="auto"/>
        <w:ind w:firstLine="480" w:firstLineChars="200"/>
        <w:rPr>
          <w:rFonts w:hint="eastAsia" w:ascii="宋体" w:hAnsi="宋体" w:cs="宋体"/>
          <w:sz w:val="24"/>
        </w:rPr>
      </w:pPr>
      <w:r>
        <w:rPr>
          <w:rFonts w:hint="eastAsia" w:ascii="宋体" w:hAnsi="宋体" w:cs="宋体"/>
          <w:sz w:val="24"/>
        </w:rPr>
        <w:t>本年度，公司对本人履职工作给予全面、积极的配合，保障本人享有与其他董事同等的知情权。公司管理层及时向本人报送经营管理、财务状况、重大事项等相关资料，对本人提出的问题和建议及时予以答复、落实和整改，在现场调研、会议组织、资料准备等方面为本人履职提供了必要的条件和全方位的支持，确保本人履职工作顺利开展。</w:t>
      </w:r>
    </w:p>
    <w:p w14:paraId="67D452BE">
      <w:pPr>
        <w:spacing w:line="360" w:lineRule="auto"/>
        <w:rPr>
          <w:rFonts w:hint="eastAsia" w:ascii="宋体" w:hAnsi="宋体" w:cs="宋体"/>
          <w:sz w:val="24"/>
        </w:rPr>
      </w:pPr>
      <w:r>
        <w:rPr>
          <w:rFonts w:hint="eastAsia" w:ascii="宋体" w:hAnsi="宋体" w:cs="宋体"/>
          <w:sz w:val="24"/>
        </w:rPr>
        <w:t>三、独立董事年度履职重点关注事项的情况</w:t>
      </w:r>
    </w:p>
    <w:p w14:paraId="57772FF8">
      <w:pPr>
        <w:spacing w:line="360" w:lineRule="auto"/>
        <w:ind w:firstLine="480" w:firstLineChars="200"/>
        <w:rPr>
          <w:rFonts w:hint="eastAsia" w:ascii="宋体" w:hAnsi="宋体" w:cs="宋体"/>
          <w:sz w:val="24"/>
        </w:rPr>
      </w:pPr>
      <w:r>
        <w:rPr>
          <w:rFonts w:hint="eastAsia" w:ascii="宋体" w:hAnsi="宋体" w:cs="宋体"/>
          <w:sz w:val="24"/>
        </w:rPr>
        <w:t>2025年度，本人将维护公司和股东合法权益作为核心履职目标，重点关注公司关联交易、承诺履行、信息披露、财务审计、高管任免与薪酬等重大事项，对相关事项的决策、执行及披露情况进行全程监督，独立作出合法合规判断，有效防范控股股东、实际控制人与公司之间的潜在重大利益冲突，具体情况如下：</w:t>
      </w:r>
    </w:p>
    <w:p w14:paraId="12781AFB">
      <w:pPr>
        <w:spacing w:line="360" w:lineRule="auto"/>
        <w:rPr>
          <w:rFonts w:hint="eastAsia" w:ascii="宋体" w:hAnsi="宋体" w:cs="宋体"/>
          <w:sz w:val="24"/>
        </w:rPr>
      </w:pPr>
      <w:r>
        <w:rPr>
          <w:rFonts w:hint="eastAsia" w:ascii="宋体" w:hAnsi="宋体" w:cs="宋体"/>
          <w:sz w:val="24"/>
        </w:rPr>
        <w:t>（一）应当披露的关联交易</w:t>
      </w:r>
    </w:p>
    <w:p w14:paraId="24AFD984">
      <w:pPr>
        <w:spacing w:line="360" w:lineRule="auto"/>
        <w:ind w:firstLine="480" w:firstLineChars="200"/>
        <w:rPr>
          <w:rFonts w:hint="eastAsia" w:ascii="宋体" w:hAnsi="宋体" w:cs="宋体"/>
          <w:sz w:val="24"/>
        </w:rPr>
      </w:pPr>
      <w:r>
        <w:rPr>
          <w:rFonts w:hint="eastAsia" w:ascii="宋体" w:hAnsi="宋体" w:cs="宋体"/>
          <w:sz w:val="24"/>
        </w:rPr>
        <w:t>本年度，本人严格按照《上海证券交易所股票上市规则》《上海证券交易所上市公司自律监管指引第1号 —— 规范运作》等法律法规及《公司章程》规定，对公司关联交易事项进行严格监督和审慎核查。对公司发生的关联交易，均通过独立董事专门会议进行前置审核，详细核查交易背景、交易定价、决策程序等内容，确认关联交易的定价公允、合理，决策程序符合相关规定，未发现存在利用关联交易损害公司及中小股东合法权益的情形。所有应披露的关联交易均已按要求及时、准确披露，信息披露内容完整、详实。</w:t>
      </w:r>
    </w:p>
    <w:p w14:paraId="093857A0">
      <w:pPr>
        <w:spacing w:line="360" w:lineRule="auto"/>
        <w:rPr>
          <w:rFonts w:hint="eastAsia" w:ascii="宋体" w:hAnsi="宋体" w:cs="宋体"/>
          <w:sz w:val="24"/>
        </w:rPr>
      </w:pPr>
      <w:r>
        <w:rPr>
          <w:rFonts w:hint="eastAsia" w:ascii="宋体" w:hAnsi="宋体" w:cs="宋体"/>
          <w:sz w:val="24"/>
        </w:rPr>
        <w:t>（二）上市公司及相关方变更或者豁免承诺的方案</w:t>
      </w:r>
    </w:p>
    <w:p w14:paraId="51865137">
      <w:pPr>
        <w:spacing w:line="360" w:lineRule="auto"/>
        <w:ind w:firstLine="480" w:firstLineChars="200"/>
        <w:rPr>
          <w:rFonts w:hint="eastAsia" w:ascii="宋体" w:hAnsi="宋体" w:cs="宋体"/>
          <w:sz w:val="24"/>
        </w:rPr>
      </w:pPr>
      <w:r>
        <w:rPr>
          <w:rFonts w:hint="eastAsia" w:ascii="宋体" w:hAnsi="宋体" w:cs="宋体"/>
          <w:sz w:val="24"/>
        </w:rPr>
        <w:t>2025年度，公司及控股股东、实际控制人、相关董事、高级管理人员等相关方，未发生变更或豁免承诺的情形，未出现承诺未履行、违反承诺的情况，相关方的承诺履行情况良好。</w:t>
      </w:r>
    </w:p>
    <w:p w14:paraId="28E69EBF">
      <w:pPr>
        <w:spacing w:line="360" w:lineRule="auto"/>
        <w:rPr>
          <w:rFonts w:hint="eastAsia" w:ascii="宋体" w:hAnsi="宋体" w:cs="宋体"/>
          <w:sz w:val="24"/>
        </w:rPr>
      </w:pPr>
      <w:r>
        <w:rPr>
          <w:rFonts w:hint="eastAsia" w:ascii="宋体" w:hAnsi="宋体" w:cs="宋体"/>
          <w:sz w:val="24"/>
        </w:rPr>
        <w:t>（三）被收购上市公司董事会针对收购所作出的决策及采取的措施</w:t>
      </w:r>
    </w:p>
    <w:p w14:paraId="3264D137">
      <w:pPr>
        <w:spacing w:line="360" w:lineRule="auto"/>
        <w:ind w:firstLine="480" w:firstLineChars="200"/>
        <w:rPr>
          <w:rFonts w:hint="eastAsia" w:ascii="宋体" w:hAnsi="宋体" w:cs="宋体"/>
          <w:sz w:val="24"/>
        </w:rPr>
      </w:pPr>
      <w:r>
        <w:rPr>
          <w:rFonts w:hint="eastAsia" w:ascii="宋体" w:hAnsi="宋体" w:cs="宋体"/>
          <w:sz w:val="24"/>
        </w:rPr>
        <w:t>2025年度，公司未发生被收购相关情形，董事会无针对公司收购作出的相关决策及采取的措施，公司股权结构保持稳定。</w:t>
      </w:r>
    </w:p>
    <w:p w14:paraId="60BAFDED">
      <w:pPr>
        <w:spacing w:line="360" w:lineRule="auto"/>
        <w:rPr>
          <w:rFonts w:hint="eastAsia" w:ascii="宋体" w:hAnsi="宋体" w:cs="宋体"/>
          <w:sz w:val="24"/>
        </w:rPr>
      </w:pPr>
      <w:r>
        <w:rPr>
          <w:rFonts w:hint="eastAsia" w:ascii="宋体" w:hAnsi="宋体" w:cs="宋体"/>
          <w:sz w:val="24"/>
        </w:rPr>
        <w:t>（四）披露财务会计报告及定期报告中的财务信息、内部控制评价报告</w:t>
      </w:r>
    </w:p>
    <w:p w14:paraId="00AC49DD">
      <w:pPr>
        <w:spacing w:line="360" w:lineRule="auto"/>
        <w:ind w:firstLine="480" w:firstLineChars="200"/>
        <w:rPr>
          <w:rFonts w:hint="eastAsia" w:ascii="宋体" w:hAnsi="宋体" w:cs="宋体"/>
          <w:sz w:val="24"/>
        </w:rPr>
      </w:pPr>
      <w:r>
        <w:rPr>
          <w:rFonts w:hint="eastAsia" w:ascii="宋体" w:hAnsi="宋体" w:cs="宋体"/>
          <w:sz w:val="24"/>
        </w:rPr>
        <w:t>本年度，公司按规定披露了4份定期报告，披露内部控制评价报告1份。本人对定期报告中的经营成果、财务状况等核心信息进行了审慎审核，与公司财务部门、审计机构就财务报表编制、会计处理等事项进行深入沟通，确认公司财务信息真实、准确、完整，符合企业会计准则的规定；对公司内部控制评价报告进行全面核查，确认公司内部控制制度体系完善，执行有效，能够有效防范经营管理风险，内部控制评价报告的编制符合相关规定，不存在虚假记载、误导性陈述或者重大遗漏。同时，公司所有定期报告及内控评价报告均按要求及时披露，信息披露格式规范、内容简明清晰。</w:t>
      </w:r>
    </w:p>
    <w:p w14:paraId="6C9A51D0">
      <w:pPr>
        <w:spacing w:line="360" w:lineRule="auto"/>
        <w:rPr>
          <w:rFonts w:hint="eastAsia" w:ascii="宋体" w:hAnsi="宋体" w:cs="宋体"/>
          <w:sz w:val="24"/>
        </w:rPr>
      </w:pPr>
      <w:r>
        <w:rPr>
          <w:rFonts w:hint="eastAsia" w:ascii="宋体" w:hAnsi="宋体" w:cs="宋体"/>
          <w:sz w:val="24"/>
        </w:rPr>
        <w:t>（五）聘用、解聘承办上市公司审计业务的会计师事务所</w:t>
      </w:r>
    </w:p>
    <w:p w14:paraId="7741910C">
      <w:pPr>
        <w:spacing w:line="360" w:lineRule="auto"/>
        <w:ind w:firstLine="480" w:firstLineChars="200"/>
        <w:rPr>
          <w:rFonts w:hint="eastAsia" w:ascii="宋体" w:hAnsi="宋体" w:cs="宋体"/>
          <w:sz w:val="24"/>
        </w:rPr>
      </w:pPr>
      <w:r>
        <w:rPr>
          <w:rFonts w:hint="eastAsia" w:ascii="宋体" w:hAnsi="宋体" w:cs="宋体"/>
          <w:sz w:val="24"/>
        </w:rPr>
        <w:t>2025年度，公司继续聘任和信会计师事务所（特殊普通合伙）作为公司财务审计和内控审计机构，未发生解聘、更换会计师事务所的情形。通过审计委员会对该会计师事务所的年度审计工作进行全面评估，确认其在审计服务过程中严格遵守独立、客观、公正的执业准则，审计程序执行到位，审计结论公允可靠，能够高质量完成公司财务审计和内控审计工作。</w:t>
      </w:r>
    </w:p>
    <w:p w14:paraId="296661BC">
      <w:pPr>
        <w:spacing w:line="360" w:lineRule="auto"/>
        <w:rPr>
          <w:rFonts w:hint="eastAsia" w:ascii="宋体" w:hAnsi="宋体" w:cs="宋体"/>
          <w:sz w:val="24"/>
        </w:rPr>
      </w:pPr>
      <w:r>
        <w:rPr>
          <w:rFonts w:hint="eastAsia" w:ascii="宋体" w:hAnsi="宋体" w:cs="宋体"/>
          <w:sz w:val="24"/>
        </w:rPr>
        <w:t>（六）聘任或者解聘上市公司财务负责人</w:t>
      </w:r>
    </w:p>
    <w:p w14:paraId="57C0442F">
      <w:pPr>
        <w:spacing w:line="360" w:lineRule="auto"/>
        <w:ind w:firstLine="480" w:firstLineChars="200"/>
        <w:rPr>
          <w:rFonts w:hint="eastAsia" w:ascii="宋体" w:hAnsi="宋体" w:cs="宋体"/>
          <w:sz w:val="24"/>
        </w:rPr>
      </w:pPr>
      <w:r>
        <w:rPr>
          <w:rFonts w:hint="eastAsia" w:ascii="宋体" w:hAnsi="宋体" w:cs="宋体"/>
          <w:sz w:val="24"/>
        </w:rPr>
        <w:t>2025年度，公司财务负责人岗位未发生聘任或解聘情形，现有财务负责人履职情况良好，具备相应的专业资质和经营管理能力，能够胜任财务负责人岗位职责，确保公司财务管理工作有序开展。</w:t>
      </w:r>
    </w:p>
    <w:p w14:paraId="0604A594">
      <w:pPr>
        <w:spacing w:line="360" w:lineRule="auto"/>
        <w:rPr>
          <w:rFonts w:hint="eastAsia" w:ascii="宋体" w:hAnsi="宋体" w:cs="宋体"/>
          <w:sz w:val="24"/>
        </w:rPr>
      </w:pPr>
      <w:r>
        <w:rPr>
          <w:rFonts w:hint="eastAsia" w:ascii="宋体" w:hAnsi="宋体" w:cs="宋体"/>
          <w:sz w:val="24"/>
        </w:rPr>
        <w:t>（七）因会计准则变更以外的原因作出会计政策、会计估计变更或者重大会计差错更正</w:t>
      </w:r>
    </w:p>
    <w:p w14:paraId="7B50E4D2">
      <w:pPr>
        <w:spacing w:line="360" w:lineRule="auto"/>
        <w:ind w:firstLine="480" w:firstLineChars="200"/>
        <w:rPr>
          <w:rFonts w:hint="eastAsia" w:ascii="宋体" w:hAnsi="宋体" w:cs="宋体"/>
          <w:sz w:val="24"/>
        </w:rPr>
      </w:pPr>
      <w:r>
        <w:rPr>
          <w:rFonts w:hint="eastAsia" w:ascii="宋体" w:hAnsi="宋体" w:cs="宋体"/>
          <w:sz w:val="24"/>
        </w:rPr>
        <w:t>2025年度，公司未因会计准则变更以外的原因作出会计政策、会计估计变更，亦未发生重大会计差错更正情形。公司会计政策、会计估计保持稳定，财务核算规范，财务数据真实反映公司实际经营状况。</w:t>
      </w:r>
    </w:p>
    <w:p w14:paraId="6967461F">
      <w:pPr>
        <w:spacing w:line="360" w:lineRule="auto"/>
        <w:rPr>
          <w:rFonts w:hint="eastAsia" w:ascii="宋体" w:hAnsi="宋体" w:cs="宋体"/>
          <w:sz w:val="24"/>
        </w:rPr>
      </w:pPr>
      <w:r>
        <w:rPr>
          <w:rFonts w:hint="eastAsia" w:ascii="宋体" w:hAnsi="宋体" w:cs="宋体"/>
          <w:sz w:val="24"/>
        </w:rPr>
        <w:t>（八）提名或者任免董事，聘任或者解聘高级管理人员</w:t>
      </w:r>
    </w:p>
    <w:p w14:paraId="39F9FA97">
      <w:pPr>
        <w:spacing w:line="360" w:lineRule="auto"/>
        <w:ind w:firstLine="480" w:firstLineChars="200"/>
        <w:rPr>
          <w:rFonts w:hint="eastAsia" w:ascii="宋体" w:hAnsi="宋体" w:cs="宋体"/>
          <w:sz w:val="24"/>
        </w:rPr>
      </w:pPr>
      <w:r>
        <w:rPr>
          <w:rFonts w:hint="eastAsia" w:ascii="宋体" w:hAnsi="宋体" w:cs="宋体"/>
          <w:sz w:val="24"/>
        </w:rPr>
        <w:t>2025年度，公司根据经营发展需要，提名董事候选人2名，补选高级管理人员2名，均由公司提名委员会按照规定程序进行审慎审核，提交董事会、股东会审议表决。提名委员会对相关提名及任免事项的任职资格进行了事前审核，确认提名的董事、高级管理人员具备相应的任职资质和履职能力，相关任免事项的决策程序符合《公司法》《公司章程》等相关规定，未发现存在损害公司及股东利益的情形，本人均对相关议案投赞成票。</w:t>
      </w:r>
    </w:p>
    <w:p w14:paraId="460F38D7">
      <w:pPr>
        <w:spacing w:line="360" w:lineRule="auto"/>
        <w:rPr>
          <w:rFonts w:hint="eastAsia" w:ascii="宋体" w:hAnsi="宋体" w:cs="宋体"/>
          <w:sz w:val="24"/>
        </w:rPr>
      </w:pPr>
      <w:r>
        <w:rPr>
          <w:rFonts w:hint="eastAsia" w:ascii="宋体" w:hAnsi="宋体" w:cs="宋体"/>
          <w:sz w:val="24"/>
        </w:rPr>
        <w:t>（九）董事、高级管理人员的薪酬情况</w:t>
      </w:r>
    </w:p>
    <w:p w14:paraId="51045C9B">
      <w:pPr>
        <w:spacing w:line="360" w:lineRule="auto"/>
        <w:ind w:firstLine="480" w:firstLineChars="200"/>
        <w:rPr>
          <w:rFonts w:hint="eastAsia" w:ascii="宋体" w:hAnsi="宋体" w:cs="宋体"/>
          <w:sz w:val="24"/>
        </w:rPr>
      </w:pPr>
      <w:r>
        <w:rPr>
          <w:rFonts w:hint="eastAsia" w:ascii="宋体" w:hAnsi="宋体" w:cs="宋体"/>
          <w:sz w:val="24"/>
        </w:rPr>
        <w:t>本年度，公司董事、高级管理人员薪酬严格按照《薪酬管理办法》执行，结合公司2024年度经营业绩、个人履职情况进行考核核定，基础年薪按时发放，绩效年薪根据考核结果兑现。</w:t>
      </w:r>
    </w:p>
    <w:p w14:paraId="2F61919B">
      <w:pPr>
        <w:spacing w:line="360" w:lineRule="auto"/>
        <w:rPr>
          <w:rFonts w:hint="eastAsia" w:ascii="宋体" w:hAnsi="宋体" w:cs="宋体"/>
          <w:sz w:val="24"/>
        </w:rPr>
      </w:pPr>
      <w:r>
        <w:rPr>
          <w:rFonts w:hint="eastAsia" w:ascii="宋体" w:hAnsi="宋体" w:cs="宋体"/>
          <w:sz w:val="24"/>
        </w:rPr>
        <w:t>四、总体评价和建议</w:t>
      </w:r>
    </w:p>
    <w:p w14:paraId="4D1BC558">
      <w:pPr>
        <w:spacing w:line="360" w:lineRule="auto"/>
        <w:ind w:firstLine="480" w:firstLineChars="200"/>
        <w:rPr>
          <w:rFonts w:hint="eastAsia" w:ascii="宋体" w:hAnsi="宋体" w:cs="宋体"/>
          <w:sz w:val="24"/>
        </w:rPr>
      </w:pPr>
      <w:r>
        <w:rPr>
          <w:rFonts w:hint="eastAsia" w:ascii="宋体" w:hAnsi="宋体" w:cs="宋体"/>
          <w:sz w:val="24"/>
        </w:rPr>
        <w:t>2025年度，本人严格按照相关法律法规、《公司章程》及独立董事履职相关规定，始终秉持独立、客观、审慎的原则，忠实、勤勉地履行各项职责。全年积极参与公司董事会、股东会及各专门委员会的各项工作，独立审议各类重大事项，主动行使独立董事职权，重点关注公司关联交易、信息披露、财务审计、高管薪酬等核心事项，有效发挥了独立董事的监督、决策和沟通作用。通过现场调研、常态化沟通等方式，全面掌握公司经营管理实际情况，及时回应中小股东关切，切实维护了公司的整体利益和全体股东，尤其是中小股东的合法权益。本年度，公司治理结构完善，规范运作水平持续提升，管理层能够积极配合本人履职，对本人提出的建议及时落实整改，本人各项履职工作均顺利开展，未出现未忠实勤勉履职的情形。</w:t>
      </w:r>
    </w:p>
    <w:p w14:paraId="3D6E993C">
      <w:pPr>
        <w:spacing w:line="360" w:lineRule="auto"/>
        <w:ind w:firstLine="480" w:firstLineChars="200"/>
        <w:rPr>
          <w:rFonts w:hint="eastAsia" w:ascii="宋体" w:hAnsi="宋体" w:cs="宋体"/>
          <w:sz w:val="24"/>
        </w:rPr>
      </w:pPr>
      <w:r>
        <w:rPr>
          <w:rFonts w:hint="eastAsia" w:ascii="宋体" w:hAnsi="宋体" w:cs="宋体"/>
          <w:sz w:val="24"/>
        </w:rPr>
        <w:t>2026年，本人将继续坚守履职初心，秉持谨慎、勤勉、忠实的原则，以对公司和全体股东高度负责的态度，进一步提升履职能力和专业水平，切实履行独立董事义务，推动公司进一步完善治理结构，提升规范运作水平，促进公司实现可持续高质量发展。</w:t>
      </w:r>
    </w:p>
    <w:p w14:paraId="56F96B96">
      <w:pPr>
        <w:pStyle w:val="26"/>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最后，感谢公司在2025年对本人工作开展的大力支持和积极配合 。</w:t>
      </w:r>
    </w:p>
    <w:p w14:paraId="39A13CB3">
      <w:pPr>
        <w:pStyle w:val="26"/>
        <w:spacing w:line="360" w:lineRule="auto"/>
        <w:jc w:val="right"/>
        <w:rPr>
          <w:rFonts w:hint="eastAsia" w:ascii="宋体" w:hAnsi="宋体" w:eastAsia="宋体" w:cs="宋体"/>
          <w:color w:val="auto"/>
        </w:rPr>
      </w:pPr>
      <w:r>
        <w:rPr>
          <w:rFonts w:hint="eastAsia" w:ascii="宋体" w:hAnsi="宋体" w:eastAsia="宋体" w:cs="宋体"/>
          <w:color w:val="auto"/>
        </w:rPr>
        <w:t>独立董事：孙晓东</w:t>
      </w:r>
    </w:p>
    <w:p w14:paraId="79A26562">
      <w:pPr>
        <w:spacing w:line="360" w:lineRule="auto"/>
        <w:jc w:val="right"/>
        <w:rPr>
          <w:rFonts w:hint="eastAsia" w:ascii="宋体" w:hAnsi="宋体" w:cs="宋体"/>
          <w:sz w:val="24"/>
        </w:rPr>
      </w:pPr>
      <w:r>
        <w:rPr>
          <w:rFonts w:hint="eastAsia" w:ascii="宋体" w:hAnsi="宋体" w:cs="宋体"/>
          <w:sz w:val="24"/>
        </w:rPr>
        <w:t>2026年5月18日</w:t>
      </w:r>
    </w:p>
    <w:p w14:paraId="66184FF1">
      <w:pPr>
        <w:ind w:firstLine="562" w:firstLineChars="200"/>
        <w:rPr>
          <w:rFonts w:hint="eastAsia" w:hAnsi="宋体"/>
          <w:b/>
          <w:sz w:val="28"/>
          <w:szCs w:val="28"/>
        </w:rPr>
      </w:pPr>
    </w:p>
    <w:p w14:paraId="4DBFCDC1">
      <w:pPr>
        <w:spacing w:line="360" w:lineRule="auto"/>
        <w:rPr>
          <w:rFonts w:hint="eastAsia" w:ascii="宋体" w:hAnsi="宋体"/>
          <w:sz w:val="24"/>
        </w:rPr>
      </w:pPr>
    </w:p>
    <w:p w14:paraId="524552F5">
      <w:pPr>
        <w:spacing w:line="360" w:lineRule="auto"/>
        <w:rPr>
          <w:b/>
          <w:sz w:val="24"/>
        </w:rPr>
      </w:pPr>
    </w:p>
    <w:p w14:paraId="488C65C8">
      <w:pPr>
        <w:spacing w:line="360" w:lineRule="auto"/>
        <w:rPr>
          <w:b/>
          <w:sz w:val="24"/>
        </w:rPr>
      </w:pPr>
    </w:p>
    <w:p w14:paraId="4D298F42">
      <w:pPr>
        <w:spacing w:line="360" w:lineRule="auto"/>
        <w:rPr>
          <w:b/>
          <w:sz w:val="24"/>
        </w:rPr>
      </w:pPr>
    </w:p>
    <w:p w14:paraId="4E69BC81">
      <w:pPr>
        <w:spacing w:line="360" w:lineRule="auto"/>
        <w:rPr>
          <w:b/>
          <w:sz w:val="24"/>
        </w:rPr>
      </w:pPr>
    </w:p>
    <w:p w14:paraId="49717F6C">
      <w:pPr>
        <w:spacing w:line="360" w:lineRule="auto"/>
        <w:rPr>
          <w:b/>
          <w:sz w:val="24"/>
        </w:rPr>
      </w:pPr>
    </w:p>
    <w:p w14:paraId="223234EB">
      <w:pPr>
        <w:spacing w:line="360" w:lineRule="auto"/>
        <w:rPr>
          <w:b/>
          <w:sz w:val="24"/>
        </w:rPr>
      </w:pPr>
    </w:p>
    <w:p w14:paraId="7B24D74F">
      <w:pPr>
        <w:spacing w:line="360" w:lineRule="auto"/>
        <w:rPr>
          <w:b/>
          <w:sz w:val="24"/>
        </w:rPr>
      </w:pPr>
    </w:p>
    <w:p w14:paraId="4F64FDE4">
      <w:pPr>
        <w:spacing w:line="360" w:lineRule="auto"/>
        <w:rPr>
          <w:b/>
          <w:sz w:val="24"/>
        </w:rPr>
      </w:pPr>
    </w:p>
    <w:p w14:paraId="706CE7F8">
      <w:pPr>
        <w:spacing w:line="360" w:lineRule="auto"/>
        <w:rPr>
          <w:b/>
          <w:sz w:val="24"/>
        </w:rPr>
      </w:pPr>
    </w:p>
    <w:p w14:paraId="1D0C14A0">
      <w:pPr>
        <w:spacing w:line="360" w:lineRule="auto"/>
        <w:rPr>
          <w:b/>
          <w:sz w:val="24"/>
        </w:rPr>
      </w:pPr>
    </w:p>
    <w:p w14:paraId="737FF798">
      <w:pPr>
        <w:spacing w:line="360" w:lineRule="auto"/>
        <w:rPr>
          <w:b/>
          <w:sz w:val="24"/>
        </w:rPr>
      </w:pPr>
    </w:p>
    <w:p w14:paraId="0F4A6846">
      <w:pPr>
        <w:spacing w:line="360" w:lineRule="auto"/>
        <w:rPr>
          <w:b/>
          <w:sz w:val="24"/>
        </w:rPr>
      </w:pPr>
    </w:p>
    <w:p w14:paraId="348F0831">
      <w:pPr>
        <w:spacing w:line="360" w:lineRule="auto"/>
        <w:rPr>
          <w:b/>
          <w:sz w:val="24"/>
        </w:rPr>
      </w:pPr>
    </w:p>
    <w:p w14:paraId="6E3A1391">
      <w:pPr>
        <w:spacing w:line="360" w:lineRule="auto"/>
        <w:rPr>
          <w:b/>
          <w:sz w:val="24"/>
        </w:rPr>
      </w:pPr>
    </w:p>
    <w:p w14:paraId="450DA4BA">
      <w:pPr>
        <w:spacing w:line="360" w:lineRule="auto"/>
        <w:rPr>
          <w:b/>
          <w:sz w:val="24"/>
        </w:rPr>
      </w:pPr>
    </w:p>
    <w:p w14:paraId="37754192">
      <w:pPr>
        <w:spacing w:line="360" w:lineRule="auto"/>
        <w:rPr>
          <w:b/>
          <w:sz w:val="24"/>
        </w:rPr>
      </w:pPr>
    </w:p>
    <w:p w14:paraId="28615B40">
      <w:pPr>
        <w:spacing w:line="360" w:lineRule="auto"/>
        <w:rPr>
          <w:b/>
          <w:sz w:val="24"/>
        </w:rPr>
      </w:pPr>
    </w:p>
    <w:p w14:paraId="39F67E97">
      <w:pPr>
        <w:spacing w:line="360" w:lineRule="auto"/>
        <w:rPr>
          <w:b/>
          <w:sz w:val="24"/>
        </w:rPr>
      </w:pPr>
    </w:p>
    <w:p w14:paraId="4063469D">
      <w:pPr>
        <w:spacing w:line="360" w:lineRule="auto"/>
        <w:rPr>
          <w:b/>
          <w:sz w:val="24"/>
        </w:rPr>
      </w:pPr>
    </w:p>
    <w:p w14:paraId="3B98D41F">
      <w:pPr>
        <w:spacing w:line="360" w:lineRule="auto"/>
        <w:rPr>
          <w:b/>
          <w:sz w:val="24"/>
        </w:rPr>
      </w:pPr>
    </w:p>
    <w:p w14:paraId="710E6FFE">
      <w:pPr>
        <w:spacing w:line="360" w:lineRule="auto"/>
        <w:rPr>
          <w:b/>
          <w:sz w:val="24"/>
        </w:rPr>
      </w:pPr>
    </w:p>
    <w:p w14:paraId="51EB4F18">
      <w:pPr>
        <w:spacing w:line="360" w:lineRule="auto"/>
        <w:rPr>
          <w:b/>
          <w:sz w:val="24"/>
        </w:rPr>
      </w:pPr>
    </w:p>
    <w:p w14:paraId="4B46343E">
      <w:pPr>
        <w:spacing w:line="360" w:lineRule="auto"/>
        <w:rPr>
          <w:b/>
          <w:sz w:val="24"/>
        </w:rPr>
      </w:pPr>
    </w:p>
    <w:p w14:paraId="5F4F1746">
      <w:pPr>
        <w:spacing w:line="360" w:lineRule="auto"/>
        <w:rPr>
          <w:b/>
          <w:sz w:val="24"/>
        </w:rPr>
      </w:pPr>
    </w:p>
    <w:p w14:paraId="783CAFB8">
      <w:pPr>
        <w:spacing w:line="360" w:lineRule="auto"/>
        <w:rPr>
          <w:b/>
          <w:sz w:val="24"/>
        </w:rPr>
      </w:pPr>
    </w:p>
    <w:p w14:paraId="4B2E1723">
      <w:pPr>
        <w:pStyle w:val="26"/>
        <w:spacing w:line="360" w:lineRule="auto"/>
        <w:jc w:val="center"/>
        <w:rPr>
          <w:rFonts w:hint="eastAsia" w:hAnsi="宋体"/>
          <w:b/>
          <w:sz w:val="28"/>
          <w:szCs w:val="28"/>
        </w:rPr>
      </w:pPr>
      <w:r>
        <w:rPr>
          <w:rFonts w:hint="eastAsia" w:hAnsi="宋体"/>
          <w:b/>
          <w:sz w:val="28"/>
          <w:szCs w:val="28"/>
        </w:rPr>
        <w:t>独立董事李八方述职报告</w:t>
      </w:r>
    </w:p>
    <w:p w14:paraId="423A65C4">
      <w:pPr>
        <w:spacing w:line="360" w:lineRule="auto"/>
        <w:ind w:firstLine="480" w:firstLineChars="200"/>
        <w:rPr>
          <w:rFonts w:hint="eastAsia" w:ascii="宋体" w:hAnsi="宋体" w:cs="宋体"/>
          <w:sz w:val="24"/>
        </w:rPr>
      </w:pPr>
      <w:r>
        <w:rPr>
          <w:rFonts w:hint="eastAsia" w:ascii="宋体" w:hAnsi="宋体" w:cs="宋体"/>
          <w:sz w:val="24"/>
        </w:rPr>
        <w:t>作为</w:t>
      </w:r>
      <w:r>
        <w:rPr>
          <w:rFonts w:hint="eastAsia" w:ascii="宋体" w:hAnsi="宋体" w:cs="宋体"/>
          <w:bCs/>
          <w:sz w:val="24"/>
        </w:rPr>
        <w:t>山东好当家海洋发展股份有限公司</w:t>
      </w:r>
      <w:r>
        <w:rPr>
          <w:rFonts w:hint="eastAsia" w:ascii="宋体" w:hAnsi="宋体" w:cs="宋体"/>
          <w:sz w:val="24"/>
        </w:rPr>
        <w:t>的独立董事，本人严格遵照《公司法》《证券法》《关于上市公司独立董事制度改革的意见》《上市公司独立董事管理办法》等法律法规及《公司章程》相关规定，秉持客观、独立、审慎的原则，积极出席董事会及各专门委员会会议，严格执行独立董事专门会议机制，忠实勤勉履行法定义务，独立审慎审议各项议题，充分发挥独立董事监督、决策支撑作用，切实维护公司及全体股东，尤其是中小股东的合法权益。现将2025年度履职情况报告如下：</w:t>
      </w:r>
    </w:p>
    <w:p w14:paraId="555EF80E">
      <w:pPr>
        <w:autoSpaceDE w:val="0"/>
        <w:autoSpaceDN w:val="0"/>
        <w:adjustRightInd w:val="0"/>
        <w:spacing w:line="360" w:lineRule="auto"/>
        <w:ind w:firstLine="482" w:firstLineChars="200"/>
        <w:rPr>
          <w:rFonts w:hint="eastAsia" w:ascii="宋体" w:hAnsi="宋体" w:cs="宋体"/>
          <w:b/>
          <w:kern w:val="0"/>
          <w:sz w:val="24"/>
        </w:rPr>
      </w:pPr>
      <w:r>
        <w:rPr>
          <w:rFonts w:hint="eastAsia" w:ascii="宋体" w:hAnsi="宋体" w:cs="宋体"/>
          <w:b/>
          <w:kern w:val="0"/>
          <w:sz w:val="24"/>
        </w:rPr>
        <w:t>一、独立董事的基本情况</w:t>
      </w:r>
    </w:p>
    <w:p w14:paraId="375F017C">
      <w:pPr>
        <w:spacing w:line="360" w:lineRule="auto"/>
        <w:ind w:firstLine="480" w:firstLineChars="200"/>
        <w:jc w:val="left"/>
        <w:rPr>
          <w:rFonts w:hint="eastAsia" w:ascii="宋体" w:hAnsi="宋体" w:cs="宋体"/>
          <w:sz w:val="24"/>
        </w:rPr>
      </w:pPr>
      <w:r>
        <w:rPr>
          <w:rFonts w:hint="eastAsia" w:ascii="宋体" w:hAnsi="宋体" w:cs="宋体"/>
          <w:sz w:val="24"/>
        </w:rPr>
        <w:t>李八方，男，1953年生。本科毕业于山东大学生物学系，研究生毕业于</w:t>
      </w:r>
      <w:r>
        <w:fldChar w:fldCharType="begin"/>
      </w:r>
      <w:r>
        <w:instrText xml:space="preserve"> HYPERLINK "https://baike.baidu.com/item/%E4%B8%AD%E5%9B%BD%E7%A7%91%E5%AD%A6%E9%99%A2%E7%A0%94%E7%A9%B6%E7%94%9F%E9%99%A2/112414" \t "_blank" </w:instrText>
      </w:r>
      <w:r>
        <w:fldChar w:fldCharType="separate"/>
      </w:r>
      <w:r>
        <w:rPr>
          <w:rFonts w:hint="eastAsia" w:ascii="宋体" w:hAnsi="宋体" w:cs="宋体"/>
          <w:sz w:val="24"/>
        </w:rPr>
        <w:t>中国科学院研究生院</w:t>
      </w:r>
      <w:r>
        <w:rPr>
          <w:rFonts w:hint="eastAsia" w:ascii="宋体" w:hAnsi="宋体" w:cs="宋体"/>
          <w:sz w:val="24"/>
        </w:rPr>
        <w:fldChar w:fldCharType="end"/>
      </w:r>
      <w:r>
        <w:rPr>
          <w:rFonts w:hint="eastAsia" w:ascii="宋体" w:hAnsi="宋体" w:cs="宋体"/>
          <w:sz w:val="24"/>
        </w:rPr>
        <w:t>，博士学位，教授，博士生指导教师。曾任中国海洋大学教授、青岛海洋生物医药研究院副院长职务，长期从事海洋生物活性物质、功能食品与制品方面的教学与科研工作。</w:t>
      </w:r>
    </w:p>
    <w:p w14:paraId="52C8C810">
      <w:pPr>
        <w:spacing w:line="360" w:lineRule="auto"/>
        <w:ind w:firstLine="480" w:firstLineChars="200"/>
        <w:rPr>
          <w:rFonts w:hint="eastAsia" w:ascii="宋体" w:hAnsi="宋体" w:cs="宋体"/>
          <w:sz w:val="24"/>
        </w:rPr>
      </w:pPr>
      <w:r>
        <w:rPr>
          <w:rFonts w:hint="eastAsia" w:ascii="宋体" w:hAnsi="宋体" w:cs="宋体"/>
          <w:sz w:val="24"/>
        </w:rPr>
        <w:t>本人未在公司担任除独立董事外的其他职务，未在公司控股股东及其他关联方公司担任任何职务，与公司、控股股东、实际控制人及公司董事、高级管理人员之间无任何可能影响独立性的利害关系，不存在《上市公司独立董事管理办法》中规定的影响独立董事独立性的情形，能够独立、公正地履行职责。</w:t>
      </w:r>
    </w:p>
    <w:p w14:paraId="7BAFFBBB">
      <w:pPr>
        <w:autoSpaceDE w:val="0"/>
        <w:autoSpaceDN w:val="0"/>
        <w:adjustRightInd w:val="0"/>
        <w:spacing w:line="360" w:lineRule="auto"/>
        <w:ind w:firstLine="482" w:firstLineChars="200"/>
        <w:rPr>
          <w:rFonts w:hint="eastAsia" w:ascii="宋体" w:hAnsi="宋体" w:cs="宋体"/>
          <w:b/>
          <w:kern w:val="0"/>
          <w:sz w:val="24"/>
        </w:rPr>
      </w:pPr>
      <w:r>
        <w:rPr>
          <w:rFonts w:hint="eastAsia" w:ascii="宋体" w:hAnsi="宋体" w:cs="宋体"/>
          <w:b/>
          <w:kern w:val="0"/>
          <w:sz w:val="24"/>
        </w:rPr>
        <w:t>二、独立董事年度履职概况</w:t>
      </w:r>
    </w:p>
    <w:p w14:paraId="295920AF">
      <w:pPr>
        <w:spacing w:line="360" w:lineRule="auto"/>
        <w:ind w:firstLine="480" w:firstLineChars="200"/>
        <w:rPr>
          <w:rFonts w:hint="eastAsia" w:ascii="宋体" w:hAnsi="宋体" w:cs="宋体"/>
          <w:sz w:val="24"/>
        </w:rPr>
      </w:pPr>
      <w:r>
        <w:rPr>
          <w:rFonts w:hint="eastAsia" w:ascii="宋体" w:hAnsi="宋体" w:cs="宋体"/>
          <w:sz w:val="24"/>
        </w:rPr>
        <w:t>2025 年度，本人始终恪守勤勉尽责的履职准则，持续关注公司治理与生产经营状况，认真审核各类议案资料并提出专业意见，独立行使表决权，有效推动公司规范运作。具体履职情况如下：</w:t>
      </w:r>
    </w:p>
    <w:p w14:paraId="5B4794D7">
      <w:pPr>
        <w:spacing w:line="360" w:lineRule="auto"/>
        <w:rPr>
          <w:rFonts w:hint="eastAsia" w:ascii="宋体" w:hAnsi="宋体" w:cs="宋体"/>
          <w:sz w:val="24"/>
        </w:rPr>
      </w:pPr>
      <w:r>
        <w:rPr>
          <w:rFonts w:hint="eastAsia" w:ascii="宋体" w:hAnsi="宋体" w:cs="宋体"/>
          <w:sz w:val="24"/>
        </w:rPr>
        <w:t>（一）出席董事会会议情况</w:t>
      </w:r>
    </w:p>
    <w:p w14:paraId="6425EFF1">
      <w:pPr>
        <w:spacing w:line="360" w:lineRule="auto"/>
        <w:ind w:firstLine="480" w:firstLineChars="200"/>
        <w:rPr>
          <w:rFonts w:hint="eastAsia" w:ascii="宋体" w:hAnsi="宋体" w:cs="宋体"/>
          <w:sz w:val="24"/>
        </w:rPr>
      </w:pPr>
      <w:r>
        <w:rPr>
          <w:rFonts w:hint="eastAsia" w:ascii="宋体" w:hAnsi="宋体" w:cs="宋体"/>
          <w:sz w:val="24"/>
        </w:rPr>
        <w:t>2025年度公司共召开董事会会议6次，本人亲自出席6次，无委托出席、无缺席，并对提交董事会的所有议案均进行了审慎、细致的审核，结合专业知识提出合理建议，全部议案均投赞成票，未出现反对、弃权情形，切实保障董事会决策的科学性和合规性。</w:t>
      </w:r>
    </w:p>
    <w:p w14:paraId="1E72E9B6">
      <w:pPr>
        <w:spacing w:line="360" w:lineRule="auto"/>
        <w:rPr>
          <w:rFonts w:hint="eastAsia" w:ascii="宋体" w:hAnsi="宋体" w:cs="宋体"/>
          <w:sz w:val="24"/>
        </w:rPr>
      </w:pPr>
      <w:r>
        <w:rPr>
          <w:rFonts w:hint="eastAsia" w:ascii="宋体" w:hAnsi="宋体" w:cs="宋体"/>
          <w:sz w:val="24"/>
        </w:rPr>
        <w:t>（二）列席股东会情况</w:t>
      </w:r>
    </w:p>
    <w:p w14:paraId="397CB9F1">
      <w:pPr>
        <w:spacing w:line="360" w:lineRule="auto"/>
        <w:ind w:firstLine="480" w:firstLineChars="200"/>
        <w:rPr>
          <w:rFonts w:hint="eastAsia" w:ascii="宋体" w:hAnsi="宋体" w:cs="宋体"/>
          <w:sz w:val="24"/>
        </w:rPr>
      </w:pPr>
      <w:r>
        <w:rPr>
          <w:rFonts w:hint="eastAsia" w:ascii="宋体" w:hAnsi="宋体" w:cs="宋体"/>
          <w:sz w:val="24"/>
        </w:rPr>
        <w:t>2025年度公司共召开股东会2次，本人按时列席全部股东会，认真听取股东意见和建议，就股东关注的重大问题进行专业解答，充分发挥独立董事在公司与股东之间的沟通桥梁作用。</w:t>
      </w:r>
    </w:p>
    <w:p w14:paraId="00F62FB1">
      <w:pPr>
        <w:spacing w:line="360" w:lineRule="auto"/>
        <w:rPr>
          <w:rFonts w:hint="eastAsia" w:ascii="宋体" w:hAnsi="宋体" w:cs="宋体"/>
          <w:sz w:val="24"/>
        </w:rPr>
      </w:pPr>
      <w:r>
        <w:rPr>
          <w:rFonts w:hint="eastAsia" w:ascii="宋体" w:hAnsi="宋体" w:cs="宋体"/>
          <w:sz w:val="24"/>
        </w:rPr>
        <w:t>（三）参与董事会专门委员会工作情况</w:t>
      </w:r>
    </w:p>
    <w:p w14:paraId="7F90444E">
      <w:pPr>
        <w:spacing w:line="360" w:lineRule="auto"/>
        <w:ind w:firstLine="480" w:firstLineChars="200"/>
        <w:rPr>
          <w:rFonts w:hint="eastAsia" w:ascii="宋体" w:hAnsi="宋体" w:cs="宋体"/>
          <w:sz w:val="24"/>
        </w:rPr>
      </w:pPr>
      <w:r>
        <w:rPr>
          <w:rFonts w:hint="eastAsia" w:ascii="宋体" w:hAnsi="宋体" w:cs="宋体"/>
          <w:sz w:val="24"/>
        </w:rPr>
        <w:t>本人作为公司薪酬与考核委员会主任委员和战略与可持续发展委员会委员，根据《董事会薪酬与考核委员会工作制度》和《董事会战略与可持续发展委员会工作制度》等规章制度，积极参加审核公司战略规划、高管薪酬等重大事项的专项会议，本人对相关事项进行了认真审议，严格按照各专门委员会工作制度履行职责。</w:t>
      </w:r>
    </w:p>
    <w:p w14:paraId="5C996E94">
      <w:pPr>
        <w:spacing w:line="360" w:lineRule="auto"/>
        <w:ind w:firstLine="480" w:firstLineChars="200"/>
        <w:rPr>
          <w:rFonts w:hint="eastAsia" w:ascii="宋体" w:hAnsi="宋体" w:cs="宋体"/>
          <w:sz w:val="24"/>
        </w:rPr>
      </w:pPr>
      <w:r>
        <w:rPr>
          <w:rFonts w:hint="eastAsia" w:ascii="宋体" w:hAnsi="宋体" w:cs="宋体"/>
          <w:sz w:val="24"/>
        </w:rPr>
        <w:t>2025年度，战略与可持续发展委员会共召开3次会议，审议修订制度等议题2项；薪酬与考核委员会召开1次会议，审议考核指标和考核结果及薪酬兑现1项议题。董事会专门委员会会议均形成专业审议意见，为董事会重大决策提供坚实支撑。</w:t>
      </w:r>
    </w:p>
    <w:p w14:paraId="05340E18">
      <w:pPr>
        <w:spacing w:line="360" w:lineRule="auto"/>
        <w:rPr>
          <w:rFonts w:hint="eastAsia" w:ascii="宋体" w:hAnsi="宋体" w:cs="宋体"/>
          <w:sz w:val="24"/>
        </w:rPr>
      </w:pPr>
      <w:r>
        <w:rPr>
          <w:rFonts w:hint="eastAsia" w:ascii="宋体" w:hAnsi="宋体" w:cs="宋体"/>
          <w:sz w:val="24"/>
        </w:rPr>
        <w:t>（四）召开独立董事专门会议情况</w:t>
      </w:r>
    </w:p>
    <w:p w14:paraId="390D5888">
      <w:pPr>
        <w:spacing w:line="360" w:lineRule="auto"/>
        <w:ind w:firstLine="480" w:firstLineChars="200"/>
        <w:rPr>
          <w:rFonts w:hint="eastAsia" w:ascii="宋体" w:hAnsi="宋体" w:cs="宋体"/>
          <w:sz w:val="24"/>
        </w:rPr>
      </w:pPr>
      <w:r>
        <w:rPr>
          <w:rFonts w:hint="eastAsia" w:ascii="宋体" w:hAnsi="宋体" w:cs="宋体"/>
          <w:sz w:val="24"/>
        </w:rPr>
        <w:t>本年度严格按照相关法律法规及公司制度要求，坚持独立董事专门会议机制。2025年度，本人出席独立董事专门会议1次，审议日常关联交易议题1项，审议议题经审慎审议后与其他独立董事形成一致意见，充分发挥独立董事的独立监督作用，切实保护中小股东的合法权益。</w:t>
      </w:r>
    </w:p>
    <w:p w14:paraId="500A1A85">
      <w:pPr>
        <w:spacing w:line="360" w:lineRule="auto"/>
        <w:rPr>
          <w:rFonts w:hint="eastAsia" w:ascii="宋体" w:hAnsi="宋体" w:cs="宋体"/>
          <w:sz w:val="24"/>
        </w:rPr>
      </w:pPr>
      <w:r>
        <w:rPr>
          <w:rFonts w:hint="eastAsia" w:ascii="宋体" w:hAnsi="宋体" w:cs="宋体"/>
          <w:sz w:val="24"/>
        </w:rPr>
        <w:t>（五）行使独立董事职权情况</w:t>
      </w:r>
    </w:p>
    <w:p w14:paraId="2EA8343D">
      <w:pPr>
        <w:spacing w:line="360" w:lineRule="auto"/>
        <w:ind w:firstLine="480" w:firstLineChars="200"/>
        <w:rPr>
          <w:rFonts w:hint="eastAsia" w:ascii="宋体" w:hAnsi="宋体" w:cs="宋体"/>
          <w:sz w:val="24"/>
        </w:rPr>
      </w:pPr>
      <w:r>
        <w:rPr>
          <w:rFonts w:hint="eastAsia" w:ascii="宋体" w:hAnsi="宋体" w:cs="宋体"/>
          <w:sz w:val="24"/>
        </w:rPr>
        <w:t>本年度，本人根据相关规定，独立行使提案权、质询权、建议权等各项职权，针对公司经营管理、财务状况、内控建设等方面的问题，及时向公司管理层提出质询和整改建议，相关建议均得到公司管理层的重视并积极落实。</w:t>
      </w:r>
    </w:p>
    <w:p w14:paraId="05E8CC6C">
      <w:pPr>
        <w:spacing w:line="360" w:lineRule="auto"/>
        <w:rPr>
          <w:rFonts w:hint="eastAsia" w:ascii="宋体" w:hAnsi="宋体" w:cs="宋体"/>
          <w:sz w:val="24"/>
        </w:rPr>
      </w:pPr>
      <w:r>
        <w:rPr>
          <w:rFonts w:hint="eastAsia" w:ascii="宋体" w:hAnsi="宋体" w:cs="宋体"/>
          <w:sz w:val="24"/>
        </w:rPr>
        <w:t>（六）与内部审计机构及会计师事务所沟通情况</w:t>
      </w:r>
    </w:p>
    <w:p w14:paraId="4EF710EB">
      <w:pPr>
        <w:spacing w:line="360" w:lineRule="auto"/>
        <w:ind w:firstLine="480" w:firstLineChars="200"/>
        <w:rPr>
          <w:rFonts w:hint="eastAsia" w:ascii="宋体" w:hAnsi="宋体" w:cs="宋体"/>
          <w:sz w:val="24"/>
        </w:rPr>
      </w:pPr>
      <w:r>
        <w:rPr>
          <w:rFonts w:hint="eastAsia" w:ascii="宋体" w:hAnsi="宋体" w:cs="宋体"/>
          <w:sz w:val="24"/>
        </w:rPr>
        <w:t>2025年度，本人持续加强与公司内部审计机构、年度审计机构和信会计师事务所（特殊普通合伙）的常态化沟通，积极运用专业经验，指导内部审计工作提质增效，监督外部审计工作的独立性、客观性和公允性，协调内外部审计机构的工作衔接，对公司内部控制有效性进行独立评估，为公司发展提供了重要的支持和保障。</w:t>
      </w:r>
    </w:p>
    <w:p w14:paraId="7750DE5C">
      <w:pPr>
        <w:spacing w:line="360" w:lineRule="auto"/>
        <w:rPr>
          <w:rFonts w:hint="eastAsia" w:ascii="宋体" w:hAnsi="宋体" w:cs="宋体"/>
          <w:sz w:val="24"/>
        </w:rPr>
      </w:pPr>
      <w:r>
        <w:rPr>
          <w:rFonts w:hint="eastAsia" w:ascii="宋体" w:hAnsi="宋体" w:cs="宋体"/>
          <w:sz w:val="24"/>
        </w:rPr>
        <w:t>（七）与中小股东的沟通交流情况</w:t>
      </w:r>
    </w:p>
    <w:p w14:paraId="746F6B33">
      <w:pPr>
        <w:spacing w:line="360" w:lineRule="auto"/>
        <w:ind w:firstLine="480" w:firstLineChars="200"/>
        <w:rPr>
          <w:rFonts w:hint="eastAsia" w:ascii="宋体" w:hAnsi="宋体" w:cs="宋体"/>
          <w:sz w:val="24"/>
        </w:rPr>
      </w:pPr>
      <w:r>
        <w:rPr>
          <w:rFonts w:hint="eastAsia" w:ascii="宋体" w:hAnsi="宋体" w:cs="宋体"/>
          <w:sz w:val="24"/>
        </w:rPr>
        <w:t>2025年度，本人持续关注媒体、网络平台对公司的报道和投资者评论，主动与公司管理层沟通相关情况，提出维护公司资本市场形象、保护中小股东权益的建议，切实搭建起公司与中小股东的有效沟通桥梁。</w:t>
      </w:r>
    </w:p>
    <w:p w14:paraId="7170866D">
      <w:pPr>
        <w:spacing w:line="360" w:lineRule="auto"/>
        <w:rPr>
          <w:rFonts w:hint="eastAsia" w:ascii="宋体" w:hAnsi="宋体" w:cs="宋体"/>
          <w:sz w:val="24"/>
        </w:rPr>
      </w:pPr>
      <w:r>
        <w:rPr>
          <w:rFonts w:hint="eastAsia" w:ascii="宋体" w:hAnsi="宋体" w:cs="宋体"/>
          <w:sz w:val="24"/>
        </w:rPr>
        <w:t>（八）现场工作情况</w:t>
      </w:r>
    </w:p>
    <w:p w14:paraId="04E1EA07">
      <w:pPr>
        <w:spacing w:line="360" w:lineRule="auto"/>
        <w:ind w:firstLine="480" w:firstLineChars="200"/>
        <w:rPr>
          <w:rFonts w:hint="eastAsia" w:ascii="宋体" w:hAnsi="宋体" w:cs="宋体"/>
          <w:sz w:val="24"/>
        </w:rPr>
      </w:pPr>
      <w:r>
        <w:rPr>
          <w:rFonts w:hint="eastAsia" w:ascii="宋体" w:hAnsi="宋体" w:cs="宋体"/>
          <w:sz w:val="24"/>
        </w:rPr>
        <w:t>2025年度，本人结合公司生产经营实际，赴公司现场办公、走访调研，实地了解公司生产经营、项目建设、风险控制等实际情况，积极与公司管理层、核心业务人员进行面对面交流，全面掌握公司经营管理的第一手资料，为履职决策提供真实、客观的依据。</w:t>
      </w:r>
    </w:p>
    <w:p w14:paraId="69DBCDB5">
      <w:pPr>
        <w:spacing w:line="360" w:lineRule="auto"/>
        <w:rPr>
          <w:rFonts w:hint="eastAsia" w:ascii="宋体" w:hAnsi="宋体" w:cs="宋体"/>
          <w:sz w:val="24"/>
        </w:rPr>
      </w:pPr>
      <w:r>
        <w:rPr>
          <w:rFonts w:hint="eastAsia" w:ascii="宋体" w:hAnsi="宋体" w:cs="宋体"/>
          <w:sz w:val="24"/>
        </w:rPr>
        <w:t>（九）公司配合履职情况</w:t>
      </w:r>
    </w:p>
    <w:p w14:paraId="306F7751">
      <w:pPr>
        <w:spacing w:line="360" w:lineRule="auto"/>
        <w:ind w:firstLine="480" w:firstLineChars="200"/>
        <w:rPr>
          <w:rFonts w:hint="eastAsia" w:ascii="宋体" w:hAnsi="宋体" w:cs="宋体"/>
          <w:sz w:val="24"/>
        </w:rPr>
      </w:pPr>
      <w:r>
        <w:rPr>
          <w:rFonts w:hint="eastAsia" w:ascii="宋体" w:hAnsi="宋体" w:cs="宋体"/>
          <w:sz w:val="24"/>
        </w:rPr>
        <w:t>本年度，公司对本人履职工作给予全面、积极的配合，保障本人享有与其他董事同等的知情权。公司管理层及时向本人报送经管管理、财务状况、重大事项等相关资料，对本人提出的问题和建议及时予以答复、落实和整改，在现场调研、会议组织、资料准备等方面为本人履职提供了必要的条件和全方位的支持，确保本人履职工作顺利开展。</w:t>
      </w:r>
    </w:p>
    <w:p w14:paraId="3F411ABE">
      <w:pPr>
        <w:autoSpaceDE w:val="0"/>
        <w:autoSpaceDN w:val="0"/>
        <w:adjustRightInd w:val="0"/>
        <w:spacing w:line="360" w:lineRule="auto"/>
        <w:ind w:firstLine="482" w:firstLineChars="200"/>
        <w:rPr>
          <w:rFonts w:hint="eastAsia" w:ascii="宋体" w:hAnsi="宋体" w:cs="宋体"/>
          <w:b/>
          <w:kern w:val="0"/>
          <w:sz w:val="24"/>
        </w:rPr>
      </w:pPr>
      <w:r>
        <w:rPr>
          <w:rFonts w:hint="eastAsia" w:ascii="宋体" w:hAnsi="宋体" w:cs="宋体"/>
          <w:b/>
          <w:kern w:val="0"/>
          <w:sz w:val="24"/>
        </w:rPr>
        <w:t>三、独立董事年度履职重点关注事项的情况</w:t>
      </w:r>
    </w:p>
    <w:p w14:paraId="3FABCD54">
      <w:pPr>
        <w:spacing w:line="360" w:lineRule="auto"/>
        <w:ind w:firstLine="480" w:firstLineChars="200"/>
        <w:rPr>
          <w:rFonts w:hint="eastAsia" w:ascii="宋体" w:hAnsi="宋体" w:cs="宋体"/>
          <w:sz w:val="24"/>
        </w:rPr>
      </w:pPr>
      <w:r>
        <w:rPr>
          <w:rFonts w:hint="eastAsia" w:ascii="宋体" w:hAnsi="宋体" w:cs="宋体"/>
          <w:sz w:val="24"/>
        </w:rPr>
        <w:t>2025 年度，本人将维护公司和股东合法权益作为核心履职目标，重点关注公司关联交易、承诺履行、信息披露、财务审计、高管任免与薪酬等重大事项，对相关事项的决策、执行及披露情况进行全程监督，独立作出合法合规判断，有效防范控股股东、实际控制人与公司之间的潜在重大利益冲突，具体情况如下：</w:t>
      </w:r>
    </w:p>
    <w:p w14:paraId="3CF0F558">
      <w:pPr>
        <w:spacing w:line="360" w:lineRule="auto"/>
        <w:rPr>
          <w:rFonts w:hint="eastAsia" w:ascii="宋体" w:hAnsi="宋体" w:cs="宋体"/>
          <w:sz w:val="24"/>
        </w:rPr>
      </w:pPr>
      <w:r>
        <w:rPr>
          <w:rFonts w:hint="eastAsia" w:ascii="宋体" w:hAnsi="宋体" w:cs="宋体"/>
          <w:sz w:val="24"/>
        </w:rPr>
        <w:t>（一）应当披露的关联交易</w:t>
      </w:r>
    </w:p>
    <w:p w14:paraId="0301050B">
      <w:pPr>
        <w:spacing w:line="360" w:lineRule="auto"/>
        <w:ind w:firstLine="480" w:firstLineChars="200"/>
        <w:rPr>
          <w:rFonts w:hint="eastAsia" w:ascii="宋体" w:hAnsi="宋体" w:cs="宋体"/>
          <w:sz w:val="24"/>
        </w:rPr>
      </w:pPr>
      <w:r>
        <w:rPr>
          <w:rFonts w:hint="eastAsia" w:ascii="宋体" w:hAnsi="宋体" w:cs="宋体"/>
          <w:sz w:val="24"/>
        </w:rPr>
        <w:t>本年度，本人严格按照《上海证券交易所股票上市规则》《上海证券交易所上市公司自律监管指引第1号——规范运作》等法律法规及《公司章程》规定，对公司关联交易事项进行严格监督和审慎核查。对公司发生的关联交易，均通过独立董事专门会议进行前置审核，详细核查交易背景、交易定价、决策程序等内容，确认关联交易的定价公允、合理，决策程序符合相关规定，未发现存在利用关联交易损害公司及中小股东合法权益的情形。所有应披露的关联交易均已按要求及时、准确披露，信息披露内容完整、详实。</w:t>
      </w:r>
    </w:p>
    <w:p w14:paraId="592B22D4">
      <w:pPr>
        <w:spacing w:line="360" w:lineRule="auto"/>
        <w:rPr>
          <w:rFonts w:hint="eastAsia" w:ascii="宋体" w:hAnsi="宋体" w:cs="宋体"/>
          <w:sz w:val="24"/>
        </w:rPr>
      </w:pPr>
      <w:r>
        <w:rPr>
          <w:rFonts w:hint="eastAsia" w:ascii="宋体" w:hAnsi="宋体" w:cs="宋体"/>
          <w:sz w:val="24"/>
        </w:rPr>
        <w:t>（二）上市公司及相关方变更或者豁免承诺的方案</w:t>
      </w:r>
    </w:p>
    <w:p w14:paraId="66E402D2">
      <w:pPr>
        <w:spacing w:line="360" w:lineRule="auto"/>
        <w:ind w:firstLine="480" w:firstLineChars="200"/>
        <w:rPr>
          <w:rFonts w:hint="eastAsia" w:ascii="宋体" w:hAnsi="宋体" w:cs="宋体"/>
          <w:sz w:val="24"/>
        </w:rPr>
      </w:pPr>
      <w:r>
        <w:rPr>
          <w:rFonts w:hint="eastAsia" w:ascii="宋体" w:hAnsi="宋体" w:cs="宋体"/>
          <w:sz w:val="24"/>
        </w:rPr>
        <w:t>2025年度，公司及控股股东、实际控制人、相关董事、高级管理人员等相关方均严格履行此前作出的各项承诺，无变更或豁免承诺的情形，未出现承诺未履行、违反承诺的情况，相关方的承诺履行情况良好。</w:t>
      </w:r>
    </w:p>
    <w:p w14:paraId="544D2108">
      <w:pPr>
        <w:spacing w:line="360" w:lineRule="auto"/>
        <w:rPr>
          <w:rFonts w:hint="eastAsia" w:ascii="宋体" w:hAnsi="宋体" w:cs="宋体"/>
          <w:sz w:val="24"/>
        </w:rPr>
      </w:pPr>
      <w:r>
        <w:rPr>
          <w:rFonts w:hint="eastAsia" w:ascii="宋体" w:hAnsi="宋体" w:cs="宋体"/>
          <w:sz w:val="24"/>
        </w:rPr>
        <w:t>（三）被收购上市公司董事会针对收购所作出的决策及采取的措施</w:t>
      </w:r>
    </w:p>
    <w:p w14:paraId="2DF91B94">
      <w:pPr>
        <w:spacing w:line="360" w:lineRule="auto"/>
        <w:ind w:firstLine="480" w:firstLineChars="200"/>
        <w:rPr>
          <w:rFonts w:hint="eastAsia" w:ascii="宋体" w:hAnsi="宋体" w:cs="宋体"/>
          <w:sz w:val="24"/>
        </w:rPr>
      </w:pPr>
      <w:r>
        <w:rPr>
          <w:rFonts w:hint="eastAsia" w:ascii="宋体" w:hAnsi="宋体" w:cs="宋体"/>
          <w:sz w:val="24"/>
        </w:rPr>
        <w:t>2025年度，公司未发生被收购相关情形，董事会无针对公司收购作出的相关决策及采取的措施，公司股权结构保持稳定。</w:t>
      </w:r>
    </w:p>
    <w:p w14:paraId="48A3D747">
      <w:pPr>
        <w:spacing w:line="360" w:lineRule="auto"/>
        <w:rPr>
          <w:rFonts w:hint="eastAsia" w:ascii="宋体" w:hAnsi="宋体" w:cs="宋体"/>
          <w:sz w:val="24"/>
        </w:rPr>
      </w:pPr>
      <w:r>
        <w:rPr>
          <w:rFonts w:hint="eastAsia" w:ascii="宋体" w:hAnsi="宋体" w:cs="宋体"/>
          <w:sz w:val="24"/>
        </w:rPr>
        <w:t>（四）披露财务会计报告及定期报告中的财务信息、内部控制评价报告</w:t>
      </w:r>
    </w:p>
    <w:p w14:paraId="5086A8D1">
      <w:pPr>
        <w:spacing w:line="360" w:lineRule="auto"/>
        <w:ind w:firstLine="480" w:firstLineChars="200"/>
        <w:rPr>
          <w:rFonts w:hint="eastAsia" w:ascii="宋体" w:hAnsi="宋体" w:cs="宋体"/>
          <w:sz w:val="24"/>
        </w:rPr>
      </w:pPr>
      <w:r>
        <w:rPr>
          <w:rFonts w:hint="eastAsia" w:ascii="宋体" w:hAnsi="宋体" w:cs="宋体"/>
          <w:sz w:val="24"/>
        </w:rPr>
        <w:t>本年度，公司按规定披露了4份定期报告，披露内部控制评价报告1份。本人对定期报告中的财务数据、经营成果、财务状况等核心信息进行了审慎审核，确认公司财务信息真实、准确、完整，符合企业会计准则的规定；对公司内部控制评价报告进行全面核查，确认公司内部控制制度体系完善，执行有效，能够有效防范经营管理风险，内部控制评价报告的编制符合相关规定，不存在虚假记载、误导性陈述或者重大遗漏。同时，公司所有定期报告及内控评价报告均按要求及时披露，信息披露格式规范、内容简明清晰。</w:t>
      </w:r>
    </w:p>
    <w:p w14:paraId="59073496">
      <w:pPr>
        <w:spacing w:line="360" w:lineRule="auto"/>
        <w:rPr>
          <w:rFonts w:hint="eastAsia" w:ascii="宋体" w:hAnsi="宋体" w:cs="宋体"/>
          <w:sz w:val="24"/>
        </w:rPr>
      </w:pPr>
      <w:r>
        <w:rPr>
          <w:rFonts w:hint="eastAsia" w:ascii="宋体" w:hAnsi="宋体" w:cs="宋体"/>
          <w:sz w:val="24"/>
        </w:rPr>
        <w:t>（五）聘用、解聘承办上市公司审计业务的会计师事务所</w:t>
      </w:r>
    </w:p>
    <w:p w14:paraId="04795675">
      <w:pPr>
        <w:spacing w:line="360" w:lineRule="auto"/>
        <w:ind w:firstLine="480" w:firstLineChars="200"/>
        <w:rPr>
          <w:rFonts w:hint="eastAsia" w:ascii="宋体" w:hAnsi="宋体" w:cs="宋体"/>
          <w:sz w:val="24"/>
        </w:rPr>
      </w:pPr>
      <w:r>
        <w:rPr>
          <w:rFonts w:hint="eastAsia" w:ascii="宋体" w:hAnsi="宋体" w:cs="宋体"/>
          <w:sz w:val="24"/>
        </w:rPr>
        <w:t>2025年度，公司继续聘任和信会计师事务所（特殊普通合伙）作为公司财务审计和内控审计机构，未发生解聘、更换会计师事务所的情形。本人对该会计师事务所的年度审计工作进行全面评估，确认其在审计服务过程中严格遵守独立、客观、公正的执业准则，审计程序执行到位，审计结论公允可靠，能够高质量完成公司财务审计和内控审计工作。</w:t>
      </w:r>
    </w:p>
    <w:p w14:paraId="3DF67290">
      <w:pPr>
        <w:spacing w:line="360" w:lineRule="auto"/>
        <w:rPr>
          <w:rFonts w:hint="eastAsia" w:ascii="宋体" w:hAnsi="宋体" w:cs="宋体"/>
          <w:sz w:val="24"/>
        </w:rPr>
      </w:pPr>
      <w:r>
        <w:rPr>
          <w:rFonts w:hint="eastAsia" w:ascii="宋体" w:hAnsi="宋体" w:cs="宋体"/>
          <w:sz w:val="24"/>
        </w:rPr>
        <w:t>（六）聘任或者解聘上市公司财务负责人</w:t>
      </w:r>
    </w:p>
    <w:p w14:paraId="3295D0A9">
      <w:pPr>
        <w:spacing w:line="360" w:lineRule="auto"/>
        <w:ind w:firstLine="480" w:firstLineChars="200"/>
        <w:rPr>
          <w:rFonts w:hint="eastAsia" w:ascii="宋体" w:hAnsi="宋体" w:cs="宋体"/>
          <w:sz w:val="24"/>
        </w:rPr>
      </w:pPr>
      <w:r>
        <w:rPr>
          <w:rFonts w:hint="eastAsia" w:ascii="宋体" w:hAnsi="宋体" w:cs="宋体"/>
          <w:sz w:val="24"/>
        </w:rPr>
        <w:t>2025年度，公司财务负责人岗位未发生聘任或解聘情形。</w:t>
      </w:r>
    </w:p>
    <w:p w14:paraId="3872AEC6">
      <w:pPr>
        <w:spacing w:line="360" w:lineRule="auto"/>
        <w:rPr>
          <w:rFonts w:hint="eastAsia" w:ascii="宋体" w:hAnsi="宋体" w:cs="宋体"/>
          <w:sz w:val="24"/>
        </w:rPr>
      </w:pPr>
      <w:r>
        <w:rPr>
          <w:rFonts w:hint="eastAsia" w:ascii="宋体" w:hAnsi="宋体" w:cs="宋体"/>
          <w:sz w:val="24"/>
        </w:rPr>
        <w:t>（七）因会计准则变更以外的原因作出会计政策、会计估计变更或者重大会计差错更正</w:t>
      </w:r>
    </w:p>
    <w:p w14:paraId="22A7B16E">
      <w:pPr>
        <w:spacing w:line="360" w:lineRule="auto"/>
        <w:ind w:firstLine="480" w:firstLineChars="200"/>
        <w:rPr>
          <w:rFonts w:hint="eastAsia" w:ascii="宋体" w:hAnsi="宋体" w:cs="宋体"/>
          <w:sz w:val="24"/>
        </w:rPr>
      </w:pPr>
      <w:r>
        <w:rPr>
          <w:rFonts w:hint="eastAsia" w:ascii="宋体" w:hAnsi="宋体" w:cs="宋体"/>
          <w:sz w:val="24"/>
        </w:rPr>
        <w:t>2025年度，公司未发生上述情形。</w:t>
      </w:r>
    </w:p>
    <w:p w14:paraId="164E9817">
      <w:pPr>
        <w:spacing w:line="360" w:lineRule="auto"/>
        <w:rPr>
          <w:rFonts w:hint="eastAsia" w:ascii="宋体" w:hAnsi="宋体" w:cs="宋体"/>
          <w:sz w:val="24"/>
        </w:rPr>
      </w:pPr>
      <w:r>
        <w:rPr>
          <w:rFonts w:hint="eastAsia" w:ascii="宋体" w:hAnsi="宋体" w:cs="宋体"/>
          <w:sz w:val="24"/>
        </w:rPr>
        <w:t>（八）提名或者任免董事，聘任或者解聘高级管理人员</w:t>
      </w:r>
    </w:p>
    <w:p w14:paraId="602D56A3">
      <w:pPr>
        <w:spacing w:line="360" w:lineRule="auto"/>
        <w:ind w:firstLine="480" w:firstLineChars="200"/>
        <w:rPr>
          <w:rFonts w:hint="eastAsia" w:ascii="宋体" w:hAnsi="宋体" w:cs="宋体"/>
          <w:sz w:val="24"/>
        </w:rPr>
      </w:pPr>
      <w:r>
        <w:rPr>
          <w:rFonts w:hint="eastAsia" w:ascii="宋体" w:hAnsi="宋体" w:cs="宋体"/>
          <w:sz w:val="24"/>
        </w:rPr>
        <w:t>2025年度，公司根据经营发展需要，提名董事候选人2名，补选高级管理人员2名，均由公司提名委员会按照规定程序进行审慎审核，提交董事会、股东会审议表决。本人对相关提名及任免事项的任职资格进行了独立核查，确认提名的董事、高级管理人员具备相应的任职资质和履职能力，相关任免事项的决策程序符合《公司法》《公司章程》等相关规定，未发现存在损害公司及股东利益的情形，本人均对相关议案投赞成票。</w:t>
      </w:r>
    </w:p>
    <w:p w14:paraId="46619277">
      <w:pPr>
        <w:spacing w:line="360" w:lineRule="auto"/>
        <w:rPr>
          <w:rFonts w:hint="eastAsia" w:ascii="宋体" w:hAnsi="宋体" w:cs="宋体"/>
          <w:sz w:val="24"/>
        </w:rPr>
      </w:pPr>
      <w:r>
        <w:rPr>
          <w:rFonts w:hint="eastAsia" w:ascii="宋体" w:hAnsi="宋体" w:cs="宋体"/>
          <w:sz w:val="24"/>
        </w:rPr>
        <w:t>（九）董事、高级管理人员的薪酬情况</w:t>
      </w:r>
    </w:p>
    <w:p w14:paraId="283CC49C">
      <w:pPr>
        <w:spacing w:line="360" w:lineRule="auto"/>
        <w:ind w:firstLine="480" w:firstLineChars="200"/>
        <w:rPr>
          <w:rFonts w:hint="eastAsia" w:ascii="宋体" w:hAnsi="宋体" w:cs="宋体"/>
          <w:sz w:val="24"/>
        </w:rPr>
      </w:pPr>
      <w:r>
        <w:rPr>
          <w:rFonts w:hint="eastAsia" w:ascii="宋体" w:hAnsi="宋体" w:cs="宋体"/>
          <w:sz w:val="24"/>
        </w:rPr>
        <w:t>本年度，公司董事、高级管理人员薪酬严格按照《薪酬管理办法》执行，结合公司2024年度经营业绩、个人履职情况进行考核核定，基础年薪按时发放，绩效年薪根据考核结果兑现。</w:t>
      </w:r>
    </w:p>
    <w:p w14:paraId="3E4F654C">
      <w:pPr>
        <w:autoSpaceDE w:val="0"/>
        <w:autoSpaceDN w:val="0"/>
        <w:adjustRightInd w:val="0"/>
        <w:spacing w:line="360" w:lineRule="auto"/>
        <w:ind w:firstLine="482" w:firstLineChars="200"/>
        <w:rPr>
          <w:rFonts w:hint="eastAsia" w:ascii="宋体" w:hAnsi="宋体" w:cs="宋体"/>
          <w:b/>
          <w:kern w:val="0"/>
          <w:sz w:val="24"/>
        </w:rPr>
      </w:pPr>
      <w:r>
        <w:rPr>
          <w:rFonts w:hint="eastAsia" w:ascii="宋体" w:hAnsi="宋体" w:cs="宋体"/>
          <w:b/>
          <w:kern w:val="0"/>
          <w:sz w:val="24"/>
        </w:rPr>
        <w:t>四、总体评价和建议</w:t>
      </w:r>
    </w:p>
    <w:p w14:paraId="06EDD92C">
      <w:pPr>
        <w:spacing w:line="360" w:lineRule="auto"/>
        <w:ind w:firstLine="480" w:firstLineChars="200"/>
        <w:rPr>
          <w:rFonts w:hint="eastAsia" w:ascii="宋体" w:hAnsi="宋体" w:cs="宋体"/>
          <w:sz w:val="24"/>
        </w:rPr>
      </w:pPr>
      <w:r>
        <w:rPr>
          <w:rFonts w:hint="eastAsia" w:ascii="宋体" w:hAnsi="宋体" w:cs="宋体"/>
          <w:sz w:val="24"/>
        </w:rPr>
        <w:t>2025年度，本人严格按照相关法律法规、《公司章程》及独立董事履职相关规定，始终秉持独立、客观、审慎的原则，忠实、勤勉地履行各项职责。全年积极参与公司董事会、股东会及各专门委员会的各项工作，独立审议各类重大事项，主动行使独立董事职权，重点关注公司关联交易、信息披露、财务审计、高管薪酬等核心事项，有效发挥了本人的监督、决策和沟通作用。通过现场调研、常态化沟通等方式，全面掌握公司经营管理实际情况，及时回应中小股东关切，切实维护了公司的整体利益和全体股东，尤其是中小股东的合法权益。本年度，公司治理结构完善，规范运作水平持续提升，管理层能够积极配合本人履职，对本人提出的建议及时落实整改，本人各项履职工作均顺利开展，未出现未忠实勤勉履职的情形。</w:t>
      </w:r>
    </w:p>
    <w:p w14:paraId="6DB1282D">
      <w:pPr>
        <w:spacing w:line="360" w:lineRule="auto"/>
        <w:ind w:firstLine="480" w:firstLineChars="200"/>
        <w:rPr>
          <w:rFonts w:hint="eastAsia" w:ascii="宋体" w:hAnsi="宋体" w:cs="宋体"/>
          <w:sz w:val="24"/>
        </w:rPr>
      </w:pPr>
      <w:r>
        <w:rPr>
          <w:rFonts w:hint="eastAsia" w:ascii="宋体" w:hAnsi="宋体" w:cs="宋体"/>
          <w:sz w:val="24"/>
        </w:rPr>
        <w:t>2026年，本人将继续坚守履职初心，秉持谨慎、勤勉、忠实的原则，以对公司和全体股东高度负责的态度，进一步提升履职能力和专业水平，切实履行独立董事义务，推动公司进一步完善治理结构，提升规范运作水平，促进公司实现可持续高质量发展。</w:t>
      </w:r>
    </w:p>
    <w:p w14:paraId="405F3338">
      <w:pPr>
        <w:pStyle w:val="26"/>
        <w:spacing w:line="360" w:lineRule="auto"/>
        <w:jc w:val="right"/>
        <w:rPr>
          <w:rFonts w:hint="eastAsia" w:ascii="宋体" w:hAnsi="宋体" w:eastAsia="宋体" w:cs="宋体"/>
          <w:color w:val="auto"/>
        </w:rPr>
      </w:pPr>
      <w:r>
        <w:rPr>
          <w:rFonts w:hint="eastAsia" w:ascii="宋体" w:hAnsi="宋体" w:eastAsia="宋体" w:cs="宋体"/>
          <w:color w:val="auto"/>
        </w:rPr>
        <w:t>独立董事：李八方</w:t>
      </w:r>
    </w:p>
    <w:p w14:paraId="1F3CC256">
      <w:pPr>
        <w:pStyle w:val="26"/>
        <w:spacing w:line="360" w:lineRule="auto"/>
        <w:jc w:val="center"/>
        <w:rPr>
          <w:rFonts w:hint="eastAsia" w:ascii="宋体" w:hAnsi="宋体" w:eastAsia="宋体" w:cs="宋体"/>
        </w:rPr>
      </w:pPr>
      <w:r>
        <w:rPr>
          <w:rFonts w:hint="eastAsia" w:ascii="宋体" w:hAnsi="宋体" w:eastAsia="宋体" w:cs="宋体"/>
        </w:rPr>
        <w:t xml:space="preserve">                                                      2026年5月18日 </w:t>
      </w:r>
    </w:p>
    <w:p w14:paraId="78F832A8">
      <w:pPr>
        <w:spacing w:line="360" w:lineRule="auto"/>
        <w:rPr>
          <w:b/>
          <w:sz w:val="24"/>
        </w:rPr>
      </w:pPr>
    </w:p>
    <w:p w14:paraId="64BC59EE">
      <w:pPr>
        <w:spacing w:line="360" w:lineRule="auto"/>
        <w:rPr>
          <w:b/>
          <w:sz w:val="24"/>
        </w:rPr>
      </w:pPr>
    </w:p>
    <w:p w14:paraId="28D2E5E4">
      <w:pPr>
        <w:spacing w:line="360" w:lineRule="auto"/>
        <w:rPr>
          <w:b/>
          <w:sz w:val="24"/>
        </w:rPr>
      </w:pPr>
    </w:p>
    <w:p w14:paraId="3DCA1AEB">
      <w:pPr>
        <w:spacing w:line="360" w:lineRule="auto"/>
        <w:rPr>
          <w:b/>
          <w:sz w:val="24"/>
        </w:rPr>
      </w:pPr>
    </w:p>
    <w:p w14:paraId="0D7780F7">
      <w:pPr>
        <w:spacing w:line="360" w:lineRule="auto"/>
        <w:rPr>
          <w:b/>
          <w:sz w:val="24"/>
        </w:rPr>
      </w:pPr>
    </w:p>
    <w:p w14:paraId="3C9B442B">
      <w:pPr>
        <w:spacing w:line="360" w:lineRule="auto"/>
        <w:rPr>
          <w:b/>
          <w:sz w:val="24"/>
        </w:rPr>
      </w:pPr>
    </w:p>
    <w:p w14:paraId="2B93078E">
      <w:pPr>
        <w:spacing w:line="360" w:lineRule="auto"/>
        <w:rPr>
          <w:b/>
          <w:sz w:val="24"/>
        </w:rPr>
      </w:pPr>
    </w:p>
    <w:p w14:paraId="42959592">
      <w:pPr>
        <w:tabs>
          <w:tab w:val="left" w:pos="1620"/>
        </w:tabs>
        <w:spacing w:line="240" w:lineRule="exact"/>
        <w:rPr>
          <w:szCs w:val="21"/>
        </w:rPr>
      </w:pPr>
    </w:p>
    <w:p w14:paraId="7F97EAB6">
      <w:pPr>
        <w:tabs>
          <w:tab w:val="left" w:pos="1620"/>
        </w:tabs>
        <w:spacing w:line="240" w:lineRule="exact"/>
        <w:rPr>
          <w:szCs w:val="21"/>
        </w:rPr>
      </w:pPr>
      <w:r>
        <w:rPr>
          <w:rFonts w:hint="eastAsia"/>
          <w:szCs w:val="21"/>
        </w:rPr>
        <w:t>*******************</w:t>
      </w:r>
    </w:p>
    <w:p w14:paraId="02143ECF">
      <w:pPr>
        <w:spacing w:line="240" w:lineRule="exact"/>
        <w:rPr>
          <w:szCs w:val="21"/>
        </w:rPr>
      </w:pPr>
      <w:r>
        <w:rPr>
          <w:rFonts w:hint="eastAsia"/>
          <w:szCs w:val="21"/>
        </w:rPr>
        <w:t>*</w:t>
      </w:r>
      <w:r>
        <w:rPr>
          <w:rFonts w:ascii="Tahoma" w:hAnsi="Tahoma" w:eastAsia="MS PGothic" w:cs="Tahoma"/>
          <w:szCs w:val="21"/>
        </w:rPr>
        <w:t>20</w:t>
      </w:r>
      <w:r>
        <w:rPr>
          <w:rFonts w:hint="eastAsia" w:ascii="Tahoma" w:hAnsi="Tahoma" w:cs="Tahoma"/>
          <w:szCs w:val="21"/>
        </w:rPr>
        <w:t>25</w:t>
      </w:r>
      <w:r>
        <w:rPr>
          <w:rFonts w:ascii="Tahoma" w:hAnsi="Tahoma" w:eastAsia="MS PGothic" w:cs="Tahoma"/>
          <w:szCs w:val="21"/>
        </w:rPr>
        <w:t>年</w:t>
      </w:r>
      <w:r>
        <w:rPr>
          <w:rFonts w:hint="eastAsia" w:ascii="Tahoma" w:hAnsi="Tahoma" w:cs="Tahoma"/>
          <w:szCs w:val="21"/>
        </w:rPr>
        <w:t>年</w:t>
      </w:r>
      <w:r>
        <w:rPr>
          <w:rFonts w:ascii="Tahoma" w:hAnsi="Tahoma" w:eastAsia="MS PGothic" w:cs="Tahoma"/>
          <w:szCs w:val="21"/>
        </w:rPr>
        <w:t>度股</w:t>
      </w:r>
      <w:r>
        <w:rPr>
          <w:rFonts w:hint="eastAsia" w:ascii="宋体" w:hAnsi="宋体" w:cs="宋体"/>
          <w:szCs w:val="21"/>
        </w:rPr>
        <w:t>东</w:t>
      </w:r>
      <w:r>
        <w:rPr>
          <w:rFonts w:hint="eastAsia" w:ascii="MS PGothic" w:hAnsi="MS PGothic" w:eastAsia="MS PGothic" w:cs="MS PGothic"/>
          <w:szCs w:val="21"/>
        </w:rPr>
        <w:t>会</w:t>
      </w:r>
      <w:r>
        <w:rPr>
          <w:rFonts w:hint="eastAsia"/>
          <w:szCs w:val="21"/>
        </w:rPr>
        <w:t>*</w:t>
      </w:r>
    </w:p>
    <w:p w14:paraId="5DBA33E2">
      <w:pPr>
        <w:tabs>
          <w:tab w:val="left" w:pos="1260"/>
          <w:tab w:val="left" w:pos="1800"/>
        </w:tabs>
        <w:spacing w:line="240" w:lineRule="exact"/>
        <w:rPr>
          <w:szCs w:val="21"/>
        </w:rPr>
      </w:pPr>
      <w:r>
        <w:rPr>
          <w:rFonts w:hint="eastAsia"/>
          <w:szCs w:val="21"/>
        </w:rPr>
        <w:t>*</w:t>
      </w:r>
      <w:r>
        <w:rPr>
          <w:rFonts w:hint="eastAsia" w:ascii="黑体" w:eastAsia="黑体"/>
          <w:szCs w:val="21"/>
        </w:rPr>
        <w:t>文   件   之   五</w:t>
      </w:r>
      <w:r>
        <w:rPr>
          <w:rFonts w:hint="eastAsia"/>
          <w:szCs w:val="21"/>
        </w:rPr>
        <w:t>*</w:t>
      </w:r>
    </w:p>
    <w:p w14:paraId="4B655725">
      <w:pPr>
        <w:spacing w:line="240" w:lineRule="exact"/>
        <w:rPr>
          <w:szCs w:val="21"/>
        </w:rPr>
      </w:pPr>
      <w:r>
        <w:rPr>
          <w:rFonts w:hint="eastAsia"/>
          <w:szCs w:val="21"/>
        </w:rPr>
        <w:t>*******************</w:t>
      </w:r>
    </w:p>
    <w:p w14:paraId="09CD0275">
      <w:pPr>
        <w:spacing w:line="480" w:lineRule="auto"/>
        <w:jc w:val="center"/>
        <w:rPr>
          <w:rFonts w:hint="eastAsia" w:ascii="黑体" w:hAnsi="黑体" w:eastAsia="黑体" w:cs="黑体"/>
          <w:b/>
          <w:sz w:val="30"/>
          <w:szCs w:val="30"/>
        </w:rPr>
      </w:pPr>
      <w:r>
        <w:rPr>
          <w:rFonts w:hint="eastAsia" w:ascii="黑体" w:hAnsi="黑体" w:eastAsia="黑体"/>
          <w:b/>
          <w:sz w:val="30"/>
          <w:szCs w:val="30"/>
        </w:rPr>
        <w:t>山东好当家海洋发展股份有限公司</w:t>
      </w:r>
    </w:p>
    <w:p w14:paraId="18E3F815">
      <w:pPr>
        <w:spacing w:line="480" w:lineRule="auto"/>
        <w:jc w:val="center"/>
        <w:rPr>
          <w:rFonts w:hint="eastAsia" w:ascii="黑体" w:hAnsi="黑体" w:eastAsia="黑体" w:cs="黑体"/>
          <w:b/>
          <w:sz w:val="30"/>
          <w:szCs w:val="30"/>
        </w:rPr>
      </w:pPr>
      <w:r>
        <w:rPr>
          <w:rFonts w:hint="eastAsia" w:ascii="黑体" w:hAnsi="黑体" w:eastAsia="黑体" w:cs="黑体"/>
          <w:b/>
          <w:sz w:val="30"/>
          <w:szCs w:val="30"/>
        </w:rPr>
        <w:t>关于公司2026-2027年度（至2026年度股东会召开日）授信额度、授信担保条件和贷款授权的议案</w:t>
      </w:r>
    </w:p>
    <w:p w14:paraId="7CB0EC3B">
      <w:pPr>
        <w:spacing w:line="480" w:lineRule="auto"/>
        <w:rPr>
          <w:sz w:val="24"/>
        </w:rPr>
      </w:pPr>
      <w:r>
        <w:rPr>
          <w:rFonts w:hint="eastAsia"/>
          <w:sz w:val="24"/>
        </w:rPr>
        <w:t>各位股东、股东代表：</w:t>
      </w:r>
    </w:p>
    <w:p w14:paraId="2A6392E3">
      <w:pPr>
        <w:spacing w:line="480" w:lineRule="auto"/>
        <w:ind w:firstLine="480"/>
        <w:rPr>
          <w:rFonts w:hint="eastAsia" w:ascii="宋体" w:hAnsi="宋体"/>
          <w:sz w:val="24"/>
        </w:rPr>
      </w:pPr>
      <w:r>
        <w:rPr>
          <w:rFonts w:hint="eastAsia" w:ascii="宋体" w:hAnsi="宋体"/>
          <w:sz w:val="24"/>
        </w:rPr>
        <w:t>根据公司2026年度生产经营的需要，公司做出下列融资计划：</w:t>
      </w:r>
    </w:p>
    <w:p w14:paraId="4906E741">
      <w:pPr>
        <w:spacing w:line="480" w:lineRule="auto"/>
        <w:ind w:firstLine="480"/>
        <w:rPr>
          <w:rFonts w:hint="eastAsia" w:ascii="宋体" w:hAnsi="宋体"/>
          <w:sz w:val="24"/>
        </w:rPr>
      </w:pPr>
      <w:r>
        <w:rPr>
          <w:rFonts w:hint="eastAsia" w:ascii="宋体" w:hAnsi="宋体"/>
          <w:sz w:val="24"/>
        </w:rPr>
        <w:t>母公司及其控股子公司拟向国内外银行金融机构、融资租赁公司、商业保理公司及国内外资本市场融资静态余额拟不超过</w:t>
      </w:r>
      <w:r>
        <w:rPr>
          <w:rFonts w:hint="eastAsia" w:ascii="宋体" w:hAnsi="宋体"/>
          <w:sz w:val="24"/>
          <w:u w:val="single"/>
        </w:rPr>
        <w:t>350,000</w:t>
      </w:r>
      <w:r>
        <w:rPr>
          <w:rFonts w:hint="eastAsia" w:ascii="宋体" w:hAnsi="宋体"/>
          <w:sz w:val="24"/>
        </w:rPr>
        <w:t>万元（含本数，保证金除外），其中：国内外银行金融机构静态余额拟不超过200,000.00万元，各类融资租赁公司静态余额拟不超过20,000.00万元，各类商业保理公司静态余额拟不超过10,000.00万元，通过银行间交易市场发行融资静态余额拟不超过50,000.00万元，发行境外公司债券融资静态余额拟不超过1亿美元（考虑到人民币与美元汇率波动因素，本项等值最高额不高于人民币7亿元）。同时为保证母公司及其控股子公司对融资渠道和融资条件的选择性，拟向上述金融机构、融资租赁公司、商业保理公司及国内外资本市场申请注册的融资授信额度超过350,000万元，其中：银行金融机构申请的融资授信额度超过200,000.00万元，各类融资租赁公司申请的融资额度超过20,000.00万元，各类商业保理公司申请的融资额度超过10,000.00万元，通过银行间交易市场发行注册的融资额度50,000.00万元，经国家发展和改革委员会审批发行境外公司债券注册融资额度1亿美元（考虑到人民币与美元汇率波动因素，本项等值最高额不高于人民币7亿元）。母公司授信担保条件为第三方或控股股东提供的信用担保或资产（包括但不仅限于存单、保证金等）抵质押、母公司的资产（包括但不仅限于存单、保证金等）抵质押、控股子公司为其提供的信用担保或资产（包括但不仅限于存单、保证金等）抵质押。控股子公司授信担保条件为第三方或母公司提供的信用担保或资产（包括但不仅限于存单、保证金等）抵质押，且母公司为其提供的信用担保或资产（包括但不仅限于存单、保证金等）抵质押总授信金额不超过40,000.00万元且静态余额拟不超过30,000.00万元、子公司及兄弟公司提供的信用担保或资产（包括但不仅限于存单、保证金等）抵质押。并授权董事长（或董事长授权人）在此额度内决定和签署融资合同，授权期至2026年度股东会召开日。除在国内外资本市场进行融资业务，可依据本议案召开董事会及股东会做详尽信息公告外，其他途径的融资不需再召开相关的董事会及股东会。</w:t>
      </w:r>
    </w:p>
    <w:p w14:paraId="28E28BD2">
      <w:pPr>
        <w:spacing w:line="480" w:lineRule="auto"/>
        <w:ind w:firstLine="480"/>
        <w:rPr>
          <w:rFonts w:hint="eastAsia" w:ascii="宋体" w:hAnsi="宋体"/>
          <w:sz w:val="24"/>
        </w:rPr>
      </w:pPr>
      <w:r>
        <w:rPr>
          <w:rFonts w:hint="eastAsia" w:ascii="宋体" w:hAnsi="宋体"/>
          <w:sz w:val="24"/>
        </w:rPr>
        <w:t>上述议案请各位与会股东审议表决。</w:t>
      </w:r>
    </w:p>
    <w:p w14:paraId="161ABDA6">
      <w:pPr>
        <w:spacing w:line="480" w:lineRule="auto"/>
        <w:ind w:firstLine="480"/>
        <w:rPr>
          <w:rFonts w:hint="eastAsia" w:ascii="宋体" w:hAnsi="宋体"/>
          <w:sz w:val="24"/>
        </w:rPr>
      </w:pPr>
    </w:p>
    <w:p w14:paraId="1AEA524A">
      <w:pPr>
        <w:spacing w:line="480" w:lineRule="auto"/>
        <w:ind w:firstLine="480"/>
        <w:rPr>
          <w:rFonts w:hint="eastAsia" w:ascii="宋体" w:hAnsi="宋体"/>
          <w:sz w:val="24"/>
        </w:rPr>
      </w:pPr>
    </w:p>
    <w:p w14:paraId="2A639137">
      <w:pPr>
        <w:spacing w:line="480" w:lineRule="auto"/>
        <w:ind w:firstLine="480"/>
        <w:rPr>
          <w:rFonts w:hint="eastAsia" w:ascii="宋体" w:hAnsi="宋体"/>
          <w:sz w:val="24"/>
        </w:rPr>
      </w:pPr>
    </w:p>
    <w:p w14:paraId="48C6A486">
      <w:pPr>
        <w:spacing w:line="480" w:lineRule="auto"/>
        <w:ind w:firstLine="480"/>
        <w:rPr>
          <w:rFonts w:hint="eastAsia" w:ascii="宋体" w:hAnsi="宋体"/>
          <w:sz w:val="24"/>
        </w:rPr>
      </w:pPr>
    </w:p>
    <w:p w14:paraId="07A295B4">
      <w:pPr>
        <w:spacing w:line="480" w:lineRule="auto"/>
        <w:ind w:firstLine="480"/>
        <w:rPr>
          <w:rFonts w:hint="eastAsia" w:ascii="宋体" w:hAnsi="宋体"/>
          <w:sz w:val="24"/>
        </w:rPr>
      </w:pPr>
    </w:p>
    <w:p w14:paraId="0355D8E3">
      <w:pPr>
        <w:spacing w:line="480" w:lineRule="auto"/>
        <w:ind w:firstLine="480"/>
        <w:rPr>
          <w:rFonts w:hint="eastAsia" w:ascii="宋体" w:hAnsi="宋体"/>
          <w:sz w:val="24"/>
        </w:rPr>
      </w:pPr>
    </w:p>
    <w:p w14:paraId="0F6E1C50">
      <w:pPr>
        <w:spacing w:line="360" w:lineRule="auto"/>
        <w:ind w:firstLine="480"/>
        <w:jc w:val="right"/>
        <w:rPr>
          <w:rFonts w:hint="eastAsia" w:ascii="宋体" w:hAnsi="宋体"/>
          <w:sz w:val="24"/>
        </w:rPr>
      </w:pPr>
      <w:r>
        <w:rPr>
          <w:rFonts w:hint="eastAsia" w:ascii="宋体" w:hAnsi="宋体"/>
          <w:sz w:val="24"/>
        </w:rPr>
        <w:t xml:space="preserve">                          山东好当家海洋发展股份有限公司</w:t>
      </w:r>
    </w:p>
    <w:p w14:paraId="0E40E41C">
      <w:pPr>
        <w:spacing w:line="360" w:lineRule="auto"/>
        <w:ind w:firstLine="480"/>
        <w:jc w:val="right"/>
        <w:rPr>
          <w:rFonts w:hint="eastAsia" w:ascii="宋体" w:hAnsi="宋体"/>
          <w:sz w:val="24"/>
        </w:rPr>
      </w:pPr>
      <w:r>
        <w:rPr>
          <w:rFonts w:hint="eastAsia" w:ascii="宋体" w:hAnsi="宋体"/>
          <w:sz w:val="24"/>
        </w:rPr>
        <w:t>董事会</w:t>
      </w:r>
    </w:p>
    <w:p w14:paraId="6A7BBEBE">
      <w:pPr>
        <w:spacing w:line="360" w:lineRule="auto"/>
        <w:ind w:firstLine="480"/>
        <w:jc w:val="right"/>
        <w:rPr>
          <w:rFonts w:hint="eastAsia" w:ascii="宋体" w:hAnsi="宋体"/>
          <w:sz w:val="24"/>
        </w:rPr>
      </w:pPr>
      <w:r>
        <w:rPr>
          <w:rFonts w:hint="eastAsia" w:ascii="宋体" w:hAnsi="宋体"/>
          <w:sz w:val="24"/>
        </w:rPr>
        <w:t xml:space="preserve">                                  2026年5月18日</w:t>
      </w:r>
    </w:p>
    <w:p w14:paraId="28515E2F">
      <w:pPr>
        <w:spacing w:line="360" w:lineRule="auto"/>
        <w:ind w:firstLine="480"/>
        <w:jc w:val="right"/>
        <w:rPr>
          <w:rFonts w:hint="eastAsia" w:ascii="宋体" w:hAnsi="宋体"/>
          <w:sz w:val="24"/>
        </w:rPr>
      </w:pPr>
    </w:p>
    <w:p w14:paraId="5496FEC6">
      <w:pPr>
        <w:spacing w:line="480" w:lineRule="auto"/>
        <w:rPr>
          <w:rFonts w:hint="eastAsia" w:ascii="黑体" w:hAnsi="黑体" w:eastAsia="黑体" w:cs="黑体"/>
          <w:b/>
          <w:sz w:val="30"/>
          <w:szCs w:val="30"/>
        </w:rPr>
      </w:pPr>
    </w:p>
    <w:p w14:paraId="3FB8D9A1">
      <w:pPr>
        <w:spacing w:line="480" w:lineRule="auto"/>
        <w:rPr>
          <w:b/>
          <w:sz w:val="28"/>
          <w:szCs w:val="28"/>
        </w:rPr>
      </w:pPr>
    </w:p>
    <w:p w14:paraId="3181DE50">
      <w:pPr>
        <w:tabs>
          <w:tab w:val="left" w:pos="1620"/>
        </w:tabs>
        <w:spacing w:line="240" w:lineRule="exact"/>
        <w:rPr>
          <w:szCs w:val="21"/>
        </w:rPr>
      </w:pPr>
      <w:r>
        <w:rPr>
          <w:rFonts w:hint="eastAsia"/>
          <w:szCs w:val="21"/>
        </w:rPr>
        <w:t>*******************</w:t>
      </w:r>
    </w:p>
    <w:p w14:paraId="5E3A8152">
      <w:pPr>
        <w:spacing w:line="240" w:lineRule="exact"/>
        <w:rPr>
          <w:szCs w:val="21"/>
        </w:rPr>
      </w:pPr>
      <w:r>
        <w:rPr>
          <w:rFonts w:hint="eastAsia"/>
          <w:szCs w:val="21"/>
        </w:rPr>
        <w:t>*</w:t>
      </w:r>
      <w:r>
        <w:rPr>
          <w:rFonts w:ascii="Tahoma" w:hAnsi="Tahoma" w:eastAsia="MS PGothic" w:cs="Tahoma"/>
          <w:szCs w:val="21"/>
        </w:rPr>
        <w:t>20</w:t>
      </w:r>
      <w:r>
        <w:rPr>
          <w:rFonts w:hint="eastAsia" w:ascii="Tahoma" w:hAnsi="Tahoma" w:cs="Tahoma"/>
          <w:szCs w:val="21"/>
        </w:rPr>
        <w:t>25</w:t>
      </w:r>
      <w:r>
        <w:rPr>
          <w:rFonts w:ascii="Tahoma" w:hAnsi="Tahoma" w:eastAsia="MS PGothic" w:cs="Tahoma"/>
          <w:szCs w:val="21"/>
        </w:rPr>
        <w:t>年</w:t>
      </w:r>
      <w:r>
        <w:rPr>
          <w:rFonts w:hint="eastAsia" w:ascii="Tahoma" w:hAnsi="Tahoma" w:cs="Tahoma"/>
          <w:szCs w:val="21"/>
        </w:rPr>
        <w:t>年</w:t>
      </w:r>
      <w:r>
        <w:rPr>
          <w:rFonts w:ascii="Tahoma" w:hAnsi="Tahoma" w:eastAsia="MS PGothic" w:cs="Tahoma"/>
          <w:szCs w:val="21"/>
        </w:rPr>
        <w:t>度股</w:t>
      </w:r>
      <w:r>
        <w:rPr>
          <w:rFonts w:hint="eastAsia" w:ascii="宋体" w:hAnsi="宋体" w:cs="宋体"/>
          <w:szCs w:val="21"/>
        </w:rPr>
        <w:t>东</w:t>
      </w:r>
      <w:r>
        <w:rPr>
          <w:rFonts w:hint="eastAsia" w:ascii="MS PGothic" w:hAnsi="MS PGothic" w:eastAsia="MS PGothic" w:cs="MS PGothic"/>
          <w:szCs w:val="21"/>
        </w:rPr>
        <w:t>会</w:t>
      </w:r>
      <w:r>
        <w:rPr>
          <w:rFonts w:hint="eastAsia"/>
          <w:szCs w:val="21"/>
        </w:rPr>
        <w:t>*</w:t>
      </w:r>
    </w:p>
    <w:p w14:paraId="058013F7">
      <w:pPr>
        <w:tabs>
          <w:tab w:val="left" w:pos="1260"/>
          <w:tab w:val="left" w:pos="1800"/>
        </w:tabs>
        <w:spacing w:line="240" w:lineRule="exact"/>
        <w:rPr>
          <w:szCs w:val="21"/>
        </w:rPr>
      </w:pPr>
      <w:r>
        <w:rPr>
          <w:rFonts w:hint="eastAsia"/>
          <w:szCs w:val="21"/>
        </w:rPr>
        <w:t>*</w:t>
      </w:r>
      <w:r>
        <w:rPr>
          <w:rFonts w:hint="eastAsia" w:ascii="黑体" w:eastAsia="黑体"/>
          <w:szCs w:val="21"/>
        </w:rPr>
        <w:t>文   件   之   六</w:t>
      </w:r>
      <w:r>
        <w:rPr>
          <w:rFonts w:hint="eastAsia"/>
          <w:szCs w:val="21"/>
        </w:rPr>
        <w:t>*</w:t>
      </w:r>
    </w:p>
    <w:p w14:paraId="1D8A90CC">
      <w:pPr>
        <w:spacing w:line="240" w:lineRule="exact"/>
        <w:rPr>
          <w:szCs w:val="21"/>
        </w:rPr>
      </w:pPr>
      <w:r>
        <w:rPr>
          <w:rFonts w:hint="eastAsia"/>
          <w:szCs w:val="21"/>
        </w:rPr>
        <w:t>*******************</w:t>
      </w:r>
    </w:p>
    <w:p w14:paraId="67E1A013">
      <w:pPr>
        <w:adjustRightInd w:val="0"/>
        <w:snapToGrid w:val="0"/>
        <w:spacing w:line="360" w:lineRule="auto"/>
        <w:jc w:val="center"/>
        <w:rPr>
          <w:rFonts w:hint="eastAsia" w:ascii="黑体" w:hAnsi="黑体" w:eastAsia="黑体" w:cs="黑体"/>
          <w:b/>
          <w:sz w:val="30"/>
          <w:szCs w:val="30"/>
        </w:rPr>
      </w:pPr>
      <w:r>
        <w:rPr>
          <w:rFonts w:hint="eastAsia" w:ascii="黑体" w:hAnsi="黑体" w:eastAsia="黑体" w:cs="黑体"/>
          <w:b/>
          <w:sz w:val="30"/>
          <w:szCs w:val="30"/>
        </w:rPr>
        <w:t>山东好当家海洋发展股份有限公司</w:t>
      </w:r>
    </w:p>
    <w:p w14:paraId="55C6DB0F">
      <w:pPr>
        <w:adjustRightInd w:val="0"/>
        <w:snapToGrid w:val="0"/>
        <w:spacing w:line="360" w:lineRule="auto"/>
        <w:jc w:val="center"/>
        <w:rPr>
          <w:rFonts w:hint="eastAsia" w:ascii="黑体" w:hAnsi="黑体" w:eastAsia="黑体" w:cs="黑体"/>
          <w:b/>
          <w:sz w:val="30"/>
          <w:szCs w:val="30"/>
        </w:rPr>
      </w:pPr>
      <w:r>
        <w:rPr>
          <w:rFonts w:hint="eastAsia" w:ascii="黑体" w:hAnsi="黑体" w:eastAsia="黑体" w:cs="黑体"/>
          <w:b/>
          <w:sz w:val="30"/>
          <w:szCs w:val="30"/>
        </w:rPr>
        <w:t>关于续聘和信会计师事务所（特殊普通合伙）的议案</w:t>
      </w:r>
    </w:p>
    <w:p w14:paraId="48CEA657">
      <w:pPr>
        <w:spacing w:line="360" w:lineRule="auto"/>
        <w:rPr>
          <w:rFonts w:hint="eastAsia" w:ascii="黑体" w:hAnsi="黑体" w:eastAsia="黑体" w:cs="黑体"/>
          <w:b/>
          <w:bCs/>
          <w:sz w:val="28"/>
          <w:szCs w:val="28"/>
        </w:rPr>
      </w:pPr>
      <w:r>
        <w:rPr>
          <w:rFonts w:hint="eastAsia" w:ascii="黑体" w:hAnsi="黑体" w:eastAsia="黑体" w:cs="黑体"/>
          <w:b/>
          <w:bCs/>
          <w:sz w:val="28"/>
          <w:szCs w:val="28"/>
        </w:rPr>
        <w:t>各位股东、股东代表：</w:t>
      </w:r>
    </w:p>
    <w:p w14:paraId="3AD033EB">
      <w:pPr>
        <w:spacing w:line="360" w:lineRule="auto"/>
        <w:ind w:firstLine="482"/>
        <w:rPr>
          <w:rFonts w:hint="eastAsia" w:ascii="宋体" w:hAnsi="宋体" w:cs="宋体"/>
          <w:sz w:val="24"/>
        </w:rPr>
      </w:pPr>
      <w:r>
        <w:rPr>
          <w:rFonts w:hint="eastAsia" w:ascii="宋体" w:hAnsi="宋体" w:cs="宋体"/>
          <w:sz w:val="24"/>
        </w:rPr>
        <w:t>根据公司章程第七章第三节“会计师事务所的聘任”的规定，鉴于和信会计师事务所（特殊普通合伙）在我公司财务审计过程中表现出的良好业务水平和职业道德，公司拟继续聘任和信会计师事务所（特殊普通合伙）做我公司的财务审计工作，聘期一年。</w:t>
      </w:r>
    </w:p>
    <w:p w14:paraId="60648FD1">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一、</w:t>
      </w:r>
      <w:r>
        <w:rPr>
          <w:rFonts w:hint="eastAsia" w:ascii="宋体" w:hAnsi="宋体" w:cs="宋体"/>
          <w:b/>
          <w:sz w:val="24"/>
        </w:rPr>
        <w:t>拟聘任会计师事务所事项的情况说明</w:t>
      </w:r>
    </w:p>
    <w:p w14:paraId="0CEE2FC7">
      <w:pPr>
        <w:pStyle w:val="26"/>
        <w:adjustRightInd/>
        <w:spacing w:line="360" w:lineRule="auto"/>
        <w:ind w:firstLine="480" w:firstLineChars="200"/>
        <w:jc w:val="both"/>
        <w:rPr>
          <w:rFonts w:hint="eastAsia" w:ascii="宋体" w:hAnsi="宋体" w:eastAsia="宋体" w:cs="宋体"/>
        </w:rPr>
      </w:pPr>
      <w:r>
        <w:rPr>
          <w:rFonts w:hint="eastAsia" w:ascii="宋体" w:hAnsi="宋体" w:eastAsia="宋体" w:cs="宋体"/>
        </w:rPr>
        <w:t>和信会计师事务所是一家具有证券、期货相关业务资格的会计师事务所，具备足够的独立性、专业胜任能力、投资者保护能力。该所在为公司提供审计服务期间，恪尽职守，遵循独立、客观、公正的执业准则，较好地完成了公司委托的相关工作，严格履行了双方业务约定书中所规定的责任和义务。由于双方合作良好，为保持公司审计工作的连续性，公司拟续聘和信会计师事务所为公司2026年度财务报表审计机构及内部控制审计机构，聘期为一年。2026年度公司给予和信会计师事务所的年度财务报表审计报酬为90万元，年度内控审计报酬为50万元。</w:t>
      </w:r>
    </w:p>
    <w:p w14:paraId="28AB9985">
      <w:pPr>
        <w:adjustRightInd w:val="0"/>
        <w:snapToGrid w:val="0"/>
        <w:spacing w:before="156" w:beforeLines="50" w:line="360" w:lineRule="auto"/>
        <w:ind w:firstLine="482" w:firstLineChars="200"/>
        <w:rPr>
          <w:rFonts w:hint="eastAsia" w:ascii="宋体" w:hAnsi="宋体" w:cs="宋体"/>
          <w:b/>
          <w:sz w:val="24"/>
        </w:rPr>
      </w:pPr>
      <w:r>
        <w:rPr>
          <w:rFonts w:hint="eastAsia" w:ascii="宋体" w:hAnsi="宋体" w:cs="宋体"/>
          <w:b/>
          <w:sz w:val="24"/>
        </w:rPr>
        <w:t>二、拟聘任会计师事务所的基本情况</w:t>
      </w:r>
    </w:p>
    <w:p w14:paraId="5A2D4DF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（一）机构信息</w:t>
      </w:r>
    </w:p>
    <w:p w14:paraId="1714137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1.基本信息</w:t>
      </w:r>
    </w:p>
    <w:p w14:paraId="783B4179">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（1）会计师事务所名称：和信会计师事务所（特殊普通合伙）（以下简称“和信会计师事务所”）；</w:t>
      </w:r>
    </w:p>
    <w:p w14:paraId="144BB439">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（2）成立日期：1987年12月成立（转制特殊普通合伙时间为2013年4月23日）；</w:t>
      </w:r>
    </w:p>
    <w:p w14:paraId="374DAC86">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（3）组织形式：特殊普通合伙；</w:t>
      </w:r>
    </w:p>
    <w:p w14:paraId="39E064E6">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（4）注册地址：济南市文化东路59号盐业大厦七楼；</w:t>
      </w:r>
    </w:p>
    <w:p w14:paraId="708BABAF">
      <w:pPr>
        <w:spacing w:line="360" w:lineRule="auto"/>
        <w:ind w:firstLine="480" w:firstLineChars="200"/>
        <w:rPr>
          <w:rFonts w:hint="eastAsia" w:ascii="宋体" w:hAnsi="宋体" w:cs="宋体"/>
          <w:sz w:val="24"/>
        </w:rPr>
      </w:pPr>
      <w:r>
        <w:rPr>
          <w:rFonts w:hint="eastAsia" w:ascii="宋体" w:hAnsi="宋体" w:cs="宋体"/>
          <w:sz w:val="24"/>
        </w:rPr>
        <w:t>（5）首席合伙人：王晖；</w:t>
      </w:r>
    </w:p>
    <w:p w14:paraId="39465A80">
      <w:pPr>
        <w:spacing w:line="360" w:lineRule="auto"/>
        <w:ind w:firstLine="480" w:firstLineChars="200"/>
        <w:rPr>
          <w:rFonts w:hint="eastAsia" w:ascii="宋体" w:hAnsi="宋体" w:cs="宋体"/>
          <w:sz w:val="24"/>
        </w:rPr>
      </w:pPr>
      <w:r>
        <w:rPr>
          <w:rFonts w:hint="eastAsia" w:ascii="宋体" w:hAnsi="宋体" w:cs="宋体"/>
          <w:sz w:val="24"/>
        </w:rPr>
        <w:t>（6）和信会计师事务所2025年度末合伙人数量为45位，年末注册会计师人数为249人，其中签署过证券服务业务审计报告的注册会计师人数为139人；</w:t>
      </w:r>
    </w:p>
    <w:p w14:paraId="5B0AB924">
      <w:pPr>
        <w:spacing w:line="360" w:lineRule="auto"/>
        <w:ind w:firstLine="480" w:firstLineChars="200"/>
        <w:rPr>
          <w:rFonts w:hint="eastAsia" w:ascii="宋体" w:hAnsi="宋体" w:cs="宋体"/>
          <w:sz w:val="24"/>
        </w:rPr>
      </w:pPr>
      <w:r>
        <w:rPr>
          <w:rFonts w:hint="eastAsia" w:ascii="宋体" w:hAnsi="宋体" w:cs="宋体"/>
          <w:sz w:val="24"/>
        </w:rPr>
        <w:t>（7）和信会计师事务所2025年度经审计的收入总额为25,419万元，其中审计业务收入18,149万元，证券业务收入9,035万元。</w:t>
      </w:r>
    </w:p>
    <w:p w14:paraId="456D6F5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（8）上年度上市公司审计客户共 47家，涉及的主要行业包括制造业、农林牧渔业、信息传输软件和信息技术服务业、电力热力燃气及水生产和供应业、批发和零售业、交通运输仓储和邮政业、金融业、建筑业、卫生和社会工作业、综合业等，审计收费共计7171.70万元。和信会计师事务所审计的与本公司同行业的上市公司客户为2 家。</w:t>
      </w:r>
    </w:p>
    <w:p w14:paraId="125577E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2.投资者保护能力</w:t>
      </w:r>
    </w:p>
    <w:p w14:paraId="73E6D40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和信会计师事务所购买的职业责任保险累计赔偿限额为10000 万元，职业保险购买符合相关规定，近三年无因执业行为在相关民事诉讼中承担民事责任的情况。</w:t>
      </w:r>
    </w:p>
    <w:p w14:paraId="7961FAD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3.诚信记录。</w:t>
      </w:r>
    </w:p>
    <w:p w14:paraId="3EE02D1F">
      <w:pPr>
        <w:autoSpaceDE w:val="0"/>
        <w:autoSpaceDN w:val="0"/>
        <w:adjustRightInd w:val="0"/>
        <w:spacing w:line="360" w:lineRule="auto"/>
        <w:ind w:firstLine="480" w:firstLineChars="200"/>
        <w:jc w:val="left"/>
        <w:rPr>
          <w:rFonts w:hint="eastAsia" w:ascii="宋体" w:hAnsi="宋体" w:cs="宋体"/>
          <w:sz w:val="24"/>
        </w:rPr>
      </w:pPr>
      <w:r>
        <w:rPr>
          <w:rFonts w:hint="eastAsia" w:ascii="宋体" w:hAnsi="宋体" w:cs="宋体"/>
          <w:sz w:val="24"/>
        </w:rPr>
        <w:t>和信会计师事务所近三年因执业行为受到监督管理措施3次、自律监管措施1次、行政处罚1次，未受到刑事处罚、纪律处分。和信会计师事务所近三年从业人员因执业行为受到监督管理措施4次，行政处罚1次，涉及人员10名，未受到刑事处罚。</w:t>
      </w:r>
    </w:p>
    <w:p w14:paraId="392FC837">
      <w:pPr>
        <w:autoSpaceDE w:val="0"/>
        <w:autoSpaceDN w:val="0"/>
        <w:adjustRightInd w:val="0"/>
        <w:spacing w:line="360" w:lineRule="auto"/>
        <w:ind w:firstLine="480" w:firstLineChars="200"/>
        <w:jc w:val="left"/>
        <w:rPr>
          <w:rFonts w:hint="eastAsia" w:ascii="宋体" w:hAnsi="宋体" w:cs="宋体"/>
          <w:sz w:val="24"/>
        </w:rPr>
      </w:pPr>
      <w:r>
        <w:rPr>
          <w:rFonts w:hint="eastAsia" w:ascii="宋体" w:hAnsi="宋体" w:cs="宋体"/>
          <w:sz w:val="24"/>
        </w:rPr>
        <w:t>（二）项目成员信息</w:t>
      </w:r>
    </w:p>
    <w:p w14:paraId="7920CA8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1.人员信息</w:t>
      </w:r>
    </w:p>
    <w:p w14:paraId="7A06BA77">
      <w:pPr>
        <w:spacing w:line="360" w:lineRule="auto"/>
        <w:ind w:firstLine="480" w:firstLineChars="200"/>
        <w:rPr>
          <w:rFonts w:hint="eastAsia" w:ascii="宋体" w:hAnsi="宋体" w:cs="宋体"/>
          <w:sz w:val="24"/>
        </w:rPr>
      </w:pPr>
      <w:r>
        <w:rPr>
          <w:rFonts w:hint="eastAsia" w:ascii="宋体" w:hAnsi="宋体" w:cs="宋体"/>
          <w:sz w:val="24"/>
        </w:rPr>
        <w:t>（1）项目合伙人王伦刚先生，1999年成为中国注册会计师，1995年开始从事上市公司审计，1995年开始在和信执业，2007年开始为本公司提供审计服务。近三年共签署或复核了上市公司审计报告22份。</w:t>
      </w:r>
    </w:p>
    <w:p w14:paraId="6F2C5932">
      <w:pPr>
        <w:adjustRightInd w:val="0"/>
        <w:snapToGrid w:val="0"/>
        <w:spacing w:before="156" w:beforeLines="50" w:line="360" w:lineRule="auto"/>
        <w:ind w:firstLine="480" w:firstLineChars="200"/>
        <w:rPr>
          <w:rFonts w:hint="eastAsia" w:ascii="宋体" w:hAnsi="宋体" w:cs="宋体"/>
          <w:sz w:val="24"/>
        </w:rPr>
      </w:pPr>
      <w:r>
        <w:rPr>
          <w:rFonts w:hint="eastAsia" w:ascii="宋体" w:hAnsi="宋体" w:cs="宋体"/>
          <w:sz w:val="24"/>
        </w:rPr>
        <w:t>（2）签字注册会计师：沈之轩先生，2019年成为中国注册会计师，2017年开始从事上市公司审计，2017年开始在和信会计师事务所执业，2022年开始为本公司提供审计服务，近三年共签署或复核了上市公司审计报告共3份。</w:t>
      </w:r>
    </w:p>
    <w:p w14:paraId="1366B7A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（3）项目质量控制复核人：左伟先生，1995年成为中国注册会计师，2000年开始从事上市公司审计，1998年开始在和信执业，2026年开始为本公司提供审计服务。近三年共签署或复核了上市公司审计报告22份。</w:t>
      </w:r>
    </w:p>
    <w:p w14:paraId="669FFEB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2.诚信记录</w:t>
      </w:r>
    </w:p>
    <w:p w14:paraId="22FCBC02">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 xml:space="preserve">项目合伙人王伦刚先生、签字注册会计师沈之轩先生、项目质量控制复核人左伟先生近三年均不存在因执业行为受到刑事处罚，受到证监会及其派出机构、行业主管部门的行政处罚、监督管理措施，受到证券交易场所、行业协会等自律组织的自律监管措施、纪律处分的情况。  </w:t>
      </w:r>
    </w:p>
    <w:p w14:paraId="54C54B4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3.独立性。</w:t>
      </w:r>
    </w:p>
    <w:p w14:paraId="2FE6BA1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和信会计师事务所及项目合伙人王伦刚先生、签字注册会计师沈之轩先生、项目质量控制复核人左伟先生不存在违反《中国注册会计师职业道德守则》对独立性要求的情形。</w:t>
      </w:r>
    </w:p>
    <w:p w14:paraId="417ECF0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（三）审计收费</w:t>
      </w:r>
    </w:p>
    <w:p w14:paraId="38D8962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和信会计师事务所（特殊普通合伙）为本公司提供的2026年度财务审计服务报酬为人民币90万元，2026年度内部控制审计服务报酬为人民币50万元，两项合计人民币140万元，与上一期（2025年度）提供的财务审计、内部控制审计服务报酬相比不变。上述收费按照和信会计师事务所（特殊普通合伙）提供审计服务所需工作人日数和每个工作人日收费标准确定。</w:t>
      </w:r>
    </w:p>
    <w:p w14:paraId="680658B9">
      <w:pPr>
        <w:adjustRightInd w:val="0"/>
        <w:snapToGrid w:val="0"/>
        <w:spacing w:before="156" w:beforeLines="50" w:line="360" w:lineRule="auto"/>
        <w:ind w:firstLine="482" w:firstLineChars="200"/>
        <w:rPr>
          <w:rFonts w:hint="eastAsia" w:ascii="宋体" w:hAnsi="宋体" w:cs="宋体"/>
          <w:b/>
          <w:sz w:val="24"/>
        </w:rPr>
      </w:pPr>
      <w:r>
        <w:rPr>
          <w:rFonts w:hint="eastAsia" w:ascii="宋体" w:hAnsi="宋体" w:cs="宋体"/>
          <w:b/>
          <w:sz w:val="24"/>
        </w:rPr>
        <w:t>三、拟续聘/变更会计师事务所履行的程序</w:t>
      </w:r>
    </w:p>
    <w:p w14:paraId="56868E44">
      <w:pPr>
        <w:pStyle w:val="26"/>
        <w:adjustRightInd/>
        <w:spacing w:line="360" w:lineRule="auto"/>
        <w:ind w:firstLine="480" w:firstLineChars="200"/>
        <w:jc w:val="both"/>
        <w:rPr>
          <w:rFonts w:hint="eastAsia" w:ascii="宋体" w:hAnsi="宋体" w:eastAsia="宋体" w:cs="宋体"/>
        </w:rPr>
      </w:pPr>
      <w:r>
        <w:rPr>
          <w:rFonts w:hint="eastAsia" w:ascii="宋体" w:hAnsi="宋体" w:eastAsia="宋体" w:cs="宋体"/>
        </w:rPr>
        <w:t>（一）董事会审计委员会意见</w:t>
      </w:r>
    </w:p>
    <w:p w14:paraId="030CB779">
      <w:pPr>
        <w:pStyle w:val="26"/>
        <w:adjustRightInd/>
        <w:spacing w:line="360" w:lineRule="auto"/>
        <w:ind w:firstLine="480" w:firstLineChars="200"/>
        <w:jc w:val="both"/>
        <w:rPr>
          <w:rFonts w:hint="eastAsia" w:ascii="宋体" w:hAnsi="宋体" w:eastAsia="宋体" w:cs="宋体"/>
        </w:rPr>
      </w:pPr>
      <w:r>
        <w:rPr>
          <w:rFonts w:hint="eastAsia" w:ascii="宋体" w:hAnsi="宋体" w:eastAsia="宋体" w:cs="宋体"/>
        </w:rPr>
        <w:t>公司董事会审计委员会已对和信会计师事务所（特殊普通合伙）进行了审查，认为其在执业过程中坚持独立审计原则，客观、公正、公允地反映公司财务状况、经营成果，切实履行了审计机构应尽的职责。审计委员会同意续聘和信会计师事务所（特殊普通合伙）为公司2026年度财务和内部控制审计机构，审计费用为人民币140万元（其中年度财务报表审计费用90万元，内控审计费用50万元），并将续聘事项提交公司董事会审议。</w:t>
      </w:r>
    </w:p>
    <w:p w14:paraId="19E75E99">
      <w:pPr>
        <w:pStyle w:val="26"/>
        <w:adjustRightInd/>
        <w:spacing w:line="360" w:lineRule="auto"/>
        <w:ind w:firstLine="480" w:firstLineChars="200"/>
        <w:jc w:val="both"/>
        <w:rPr>
          <w:rFonts w:hint="eastAsia" w:ascii="宋体" w:hAnsi="宋体" w:eastAsia="宋体" w:cs="宋体"/>
        </w:rPr>
      </w:pPr>
      <w:r>
        <w:rPr>
          <w:rFonts w:hint="eastAsia" w:ascii="宋体" w:hAnsi="宋体" w:eastAsia="宋体" w:cs="宋体"/>
        </w:rPr>
        <w:t>（二）上市公司董事会对本次聘任会计师事务所相关议案的审议和表决情况</w:t>
      </w:r>
    </w:p>
    <w:p w14:paraId="5C24CB8E">
      <w:pPr>
        <w:pStyle w:val="26"/>
        <w:adjustRightInd/>
        <w:spacing w:line="360" w:lineRule="auto"/>
        <w:ind w:firstLine="480" w:firstLineChars="200"/>
        <w:jc w:val="both"/>
        <w:rPr>
          <w:rFonts w:hint="eastAsia" w:ascii="宋体" w:hAnsi="宋体" w:eastAsia="宋体" w:cs="宋体"/>
        </w:rPr>
      </w:pPr>
      <w:r>
        <w:rPr>
          <w:rFonts w:hint="eastAsia" w:ascii="宋体" w:hAnsi="宋体" w:eastAsia="宋体" w:cs="宋体"/>
        </w:rPr>
        <w:t>公司第十一届董事会第十六次会议以同意8票，反对0票，弃权0票审议通过了《关于续聘和信会计师事务所（特殊普通合伙）为公司2026年度审计机构的议案》，同意续聘和信会计师事务所（特殊普通合伙）为公司2026年度审计机构。</w:t>
      </w:r>
    </w:p>
    <w:p w14:paraId="0AA1EB5E">
      <w:pPr>
        <w:pStyle w:val="26"/>
        <w:spacing w:line="360" w:lineRule="auto"/>
        <w:ind w:firstLine="482"/>
        <w:rPr>
          <w:rFonts w:hint="eastAsia" w:ascii="宋体" w:hAnsi="宋体" w:eastAsia="宋体" w:cs="宋体"/>
        </w:rPr>
      </w:pPr>
      <w:r>
        <w:rPr>
          <w:rFonts w:hint="eastAsia" w:ascii="宋体" w:hAnsi="宋体" w:eastAsia="宋体" w:cs="宋体"/>
        </w:rPr>
        <w:t>上述议案请各位与会股东审议表决。</w:t>
      </w:r>
    </w:p>
    <w:p w14:paraId="00CF3464">
      <w:pPr>
        <w:pStyle w:val="26"/>
        <w:spacing w:line="360" w:lineRule="auto"/>
        <w:ind w:firstLine="482"/>
        <w:rPr>
          <w:rFonts w:hint="eastAsia" w:ascii="宋体" w:hAnsi="宋体" w:eastAsia="宋体" w:cs="宋体"/>
        </w:rPr>
      </w:pPr>
    </w:p>
    <w:p w14:paraId="28199F7F">
      <w:pPr>
        <w:pStyle w:val="26"/>
        <w:spacing w:line="360" w:lineRule="auto"/>
        <w:ind w:firstLine="482"/>
        <w:rPr>
          <w:rFonts w:ascii="Times New Roman" w:cs="Times New Roman"/>
        </w:rPr>
      </w:pPr>
    </w:p>
    <w:p w14:paraId="7A088355">
      <w:pPr>
        <w:pStyle w:val="26"/>
        <w:spacing w:line="360" w:lineRule="auto"/>
        <w:ind w:firstLine="482"/>
        <w:rPr>
          <w:rFonts w:ascii="Times New Roman" w:cs="Times New Roman"/>
        </w:rPr>
      </w:pPr>
    </w:p>
    <w:p w14:paraId="33A34210">
      <w:pPr>
        <w:autoSpaceDE w:val="0"/>
        <w:autoSpaceDN w:val="0"/>
        <w:adjustRightInd w:val="0"/>
        <w:spacing w:line="360" w:lineRule="auto"/>
        <w:ind w:firstLine="3960" w:firstLineChars="1650"/>
        <w:jc w:val="right"/>
        <w:rPr>
          <w:color w:val="000000"/>
          <w:kern w:val="0"/>
          <w:sz w:val="24"/>
        </w:rPr>
      </w:pPr>
      <w:r>
        <w:rPr>
          <w:color w:val="000000"/>
          <w:kern w:val="0"/>
          <w:sz w:val="24"/>
        </w:rPr>
        <w:t>山东好当家海洋发展股份有限公司</w:t>
      </w:r>
    </w:p>
    <w:p w14:paraId="192A2A85">
      <w:pPr>
        <w:autoSpaceDE w:val="0"/>
        <w:autoSpaceDN w:val="0"/>
        <w:adjustRightInd w:val="0"/>
        <w:spacing w:line="360" w:lineRule="auto"/>
        <w:ind w:firstLine="5280" w:firstLineChars="2200"/>
        <w:jc w:val="right"/>
        <w:rPr>
          <w:color w:val="000000"/>
          <w:kern w:val="0"/>
          <w:sz w:val="24"/>
        </w:rPr>
      </w:pPr>
      <w:r>
        <w:rPr>
          <w:color w:val="000000"/>
          <w:kern w:val="0"/>
          <w:sz w:val="24"/>
        </w:rPr>
        <w:t>董事会</w:t>
      </w:r>
    </w:p>
    <w:p w14:paraId="01ADE778">
      <w:pPr>
        <w:autoSpaceDE w:val="0"/>
        <w:autoSpaceDN w:val="0"/>
        <w:adjustRightInd w:val="0"/>
        <w:spacing w:line="360" w:lineRule="auto"/>
        <w:ind w:firstLine="5040" w:firstLineChars="2100"/>
        <w:jc w:val="right"/>
        <w:rPr>
          <w:color w:val="000000"/>
          <w:kern w:val="0"/>
          <w:sz w:val="24"/>
        </w:rPr>
      </w:pPr>
      <w:r>
        <w:rPr>
          <w:color w:val="000000"/>
          <w:kern w:val="0"/>
          <w:sz w:val="24"/>
        </w:rPr>
        <w:t>2026年</w:t>
      </w:r>
      <w:r>
        <w:rPr>
          <w:rFonts w:hint="eastAsia"/>
          <w:color w:val="000000"/>
          <w:kern w:val="0"/>
          <w:sz w:val="24"/>
        </w:rPr>
        <w:t>5</w:t>
      </w:r>
      <w:r>
        <w:rPr>
          <w:color w:val="000000"/>
          <w:kern w:val="0"/>
          <w:sz w:val="24"/>
        </w:rPr>
        <w:t>月</w:t>
      </w:r>
      <w:r>
        <w:rPr>
          <w:rFonts w:hint="eastAsia"/>
          <w:color w:val="000000"/>
          <w:kern w:val="0"/>
          <w:sz w:val="24"/>
        </w:rPr>
        <w:t>18</w:t>
      </w:r>
      <w:r>
        <w:rPr>
          <w:color w:val="000000"/>
          <w:kern w:val="0"/>
          <w:sz w:val="24"/>
        </w:rPr>
        <w:t>日</w:t>
      </w:r>
    </w:p>
    <w:p w14:paraId="07958E16">
      <w:pPr>
        <w:spacing w:line="240" w:lineRule="exact"/>
        <w:rPr>
          <w:szCs w:val="21"/>
        </w:rPr>
      </w:pPr>
    </w:p>
    <w:p w14:paraId="0F788AE9">
      <w:pPr>
        <w:spacing w:line="240" w:lineRule="exact"/>
        <w:rPr>
          <w:szCs w:val="21"/>
        </w:rPr>
      </w:pPr>
    </w:p>
    <w:p w14:paraId="1E75B77F">
      <w:pPr>
        <w:spacing w:line="240" w:lineRule="exact"/>
        <w:rPr>
          <w:szCs w:val="21"/>
        </w:rPr>
      </w:pPr>
    </w:p>
    <w:p w14:paraId="250D49D5">
      <w:pPr>
        <w:spacing w:line="240" w:lineRule="exact"/>
        <w:rPr>
          <w:szCs w:val="21"/>
        </w:rPr>
      </w:pPr>
    </w:p>
    <w:p w14:paraId="09D6458A">
      <w:pPr>
        <w:spacing w:line="240" w:lineRule="exact"/>
        <w:rPr>
          <w:szCs w:val="21"/>
        </w:rPr>
      </w:pPr>
    </w:p>
    <w:p w14:paraId="7C367018">
      <w:pPr>
        <w:spacing w:line="240" w:lineRule="exact"/>
        <w:rPr>
          <w:szCs w:val="21"/>
        </w:rPr>
      </w:pPr>
    </w:p>
    <w:p w14:paraId="4F7750AD">
      <w:pPr>
        <w:spacing w:line="240" w:lineRule="exact"/>
        <w:rPr>
          <w:szCs w:val="21"/>
        </w:rPr>
      </w:pPr>
    </w:p>
    <w:p w14:paraId="2F5EDA22">
      <w:pPr>
        <w:spacing w:line="240" w:lineRule="exact"/>
        <w:rPr>
          <w:szCs w:val="21"/>
        </w:rPr>
      </w:pPr>
    </w:p>
    <w:p w14:paraId="64E329A9">
      <w:pPr>
        <w:spacing w:line="240" w:lineRule="exact"/>
        <w:rPr>
          <w:szCs w:val="21"/>
        </w:rPr>
      </w:pPr>
    </w:p>
    <w:p w14:paraId="79C21407">
      <w:pPr>
        <w:spacing w:line="240" w:lineRule="exact"/>
        <w:rPr>
          <w:szCs w:val="21"/>
        </w:rPr>
      </w:pPr>
    </w:p>
    <w:p w14:paraId="2587565E">
      <w:pPr>
        <w:spacing w:line="240" w:lineRule="exact"/>
        <w:rPr>
          <w:szCs w:val="21"/>
        </w:rPr>
      </w:pPr>
    </w:p>
    <w:p w14:paraId="54091782">
      <w:pPr>
        <w:spacing w:line="240" w:lineRule="exact"/>
        <w:rPr>
          <w:szCs w:val="21"/>
        </w:rPr>
      </w:pPr>
    </w:p>
    <w:p w14:paraId="7BD7BB60">
      <w:pPr>
        <w:spacing w:line="240" w:lineRule="exact"/>
        <w:rPr>
          <w:szCs w:val="21"/>
        </w:rPr>
      </w:pPr>
    </w:p>
    <w:p w14:paraId="1E3C5A52">
      <w:pPr>
        <w:spacing w:line="240" w:lineRule="exact"/>
        <w:rPr>
          <w:szCs w:val="21"/>
        </w:rPr>
      </w:pPr>
    </w:p>
    <w:p w14:paraId="0C61CCCA">
      <w:pPr>
        <w:spacing w:line="240" w:lineRule="exact"/>
        <w:rPr>
          <w:szCs w:val="21"/>
        </w:rPr>
      </w:pPr>
    </w:p>
    <w:p w14:paraId="1EFA226C">
      <w:pPr>
        <w:spacing w:line="240" w:lineRule="exact"/>
        <w:rPr>
          <w:szCs w:val="21"/>
        </w:rPr>
      </w:pPr>
    </w:p>
    <w:p w14:paraId="7D07562F">
      <w:pPr>
        <w:spacing w:line="240" w:lineRule="exact"/>
        <w:rPr>
          <w:szCs w:val="21"/>
        </w:rPr>
      </w:pPr>
    </w:p>
    <w:p w14:paraId="1D8237D2">
      <w:pPr>
        <w:spacing w:line="240" w:lineRule="exact"/>
        <w:rPr>
          <w:szCs w:val="21"/>
        </w:rPr>
      </w:pPr>
    </w:p>
    <w:p w14:paraId="27A438C0">
      <w:pPr>
        <w:spacing w:line="240" w:lineRule="exact"/>
        <w:rPr>
          <w:szCs w:val="21"/>
        </w:rPr>
      </w:pPr>
    </w:p>
    <w:p w14:paraId="6221DFD6">
      <w:pPr>
        <w:spacing w:line="240" w:lineRule="exact"/>
        <w:rPr>
          <w:szCs w:val="21"/>
        </w:rPr>
      </w:pPr>
    </w:p>
    <w:p w14:paraId="4894F686">
      <w:pPr>
        <w:spacing w:line="240" w:lineRule="exact"/>
        <w:rPr>
          <w:szCs w:val="21"/>
        </w:rPr>
      </w:pPr>
    </w:p>
    <w:p w14:paraId="15C24E18">
      <w:pPr>
        <w:spacing w:line="240" w:lineRule="exact"/>
        <w:rPr>
          <w:szCs w:val="21"/>
        </w:rPr>
      </w:pPr>
    </w:p>
    <w:p w14:paraId="5A3AB945">
      <w:pPr>
        <w:spacing w:line="240" w:lineRule="exact"/>
        <w:rPr>
          <w:szCs w:val="21"/>
        </w:rPr>
      </w:pPr>
    </w:p>
    <w:p w14:paraId="1463CDD2">
      <w:pPr>
        <w:spacing w:line="240" w:lineRule="exact"/>
        <w:rPr>
          <w:szCs w:val="21"/>
        </w:rPr>
      </w:pPr>
    </w:p>
    <w:p w14:paraId="78A4D94B">
      <w:pPr>
        <w:spacing w:line="240" w:lineRule="exact"/>
        <w:rPr>
          <w:szCs w:val="21"/>
        </w:rPr>
      </w:pPr>
    </w:p>
    <w:p w14:paraId="19E28202">
      <w:pPr>
        <w:spacing w:line="240" w:lineRule="exact"/>
        <w:rPr>
          <w:szCs w:val="21"/>
        </w:rPr>
      </w:pPr>
    </w:p>
    <w:p w14:paraId="21A23675">
      <w:pPr>
        <w:spacing w:line="240" w:lineRule="exact"/>
        <w:rPr>
          <w:szCs w:val="21"/>
        </w:rPr>
      </w:pPr>
    </w:p>
    <w:p w14:paraId="670FF507">
      <w:pPr>
        <w:spacing w:line="240" w:lineRule="exact"/>
        <w:rPr>
          <w:szCs w:val="21"/>
        </w:rPr>
      </w:pPr>
    </w:p>
    <w:p w14:paraId="6A37F52B">
      <w:pPr>
        <w:spacing w:line="240" w:lineRule="exact"/>
        <w:rPr>
          <w:szCs w:val="21"/>
        </w:rPr>
      </w:pPr>
    </w:p>
    <w:p w14:paraId="7FC55479">
      <w:pPr>
        <w:spacing w:line="240" w:lineRule="exact"/>
        <w:rPr>
          <w:szCs w:val="21"/>
        </w:rPr>
      </w:pPr>
    </w:p>
    <w:p w14:paraId="5046AEB3">
      <w:pPr>
        <w:spacing w:line="240" w:lineRule="exact"/>
        <w:rPr>
          <w:szCs w:val="21"/>
        </w:rPr>
      </w:pPr>
    </w:p>
    <w:p w14:paraId="42A8F5E6">
      <w:pPr>
        <w:spacing w:line="240" w:lineRule="exact"/>
        <w:rPr>
          <w:szCs w:val="21"/>
        </w:rPr>
      </w:pPr>
    </w:p>
    <w:p w14:paraId="66EE4F78">
      <w:pPr>
        <w:spacing w:line="240" w:lineRule="exact"/>
        <w:rPr>
          <w:szCs w:val="21"/>
        </w:rPr>
      </w:pPr>
    </w:p>
    <w:p w14:paraId="5F6BA368">
      <w:pPr>
        <w:spacing w:line="240" w:lineRule="exact"/>
        <w:rPr>
          <w:szCs w:val="21"/>
        </w:rPr>
      </w:pPr>
    </w:p>
    <w:p w14:paraId="3F68AD70">
      <w:pPr>
        <w:spacing w:line="240" w:lineRule="exact"/>
        <w:rPr>
          <w:szCs w:val="21"/>
        </w:rPr>
      </w:pPr>
    </w:p>
    <w:p w14:paraId="2DD287AB">
      <w:pPr>
        <w:spacing w:line="240" w:lineRule="exact"/>
        <w:rPr>
          <w:szCs w:val="21"/>
        </w:rPr>
      </w:pPr>
    </w:p>
    <w:p w14:paraId="00AB66C5">
      <w:pPr>
        <w:spacing w:line="240" w:lineRule="exact"/>
        <w:rPr>
          <w:szCs w:val="21"/>
        </w:rPr>
      </w:pPr>
    </w:p>
    <w:p w14:paraId="4A923728">
      <w:pPr>
        <w:spacing w:line="240" w:lineRule="exact"/>
        <w:rPr>
          <w:szCs w:val="21"/>
        </w:rPr>
      </w:pPr>
    </w:p>
    <w:p w14:paraId="665ADE16">
      <w:pPr>
        <w:spacing w:line="240" w:lineRule="exact"/>
        <w:rPr>
          <w:szCs w:val="21"/>
        </w:rPr>
      </w:pPr>
    </w:p>
    <w:p w14:paraId="4706CE27">
      <w:pPr>
        <w:spacing w:line="240" w:lineRule="exact"/>
        <w:rPr>
          <w:szCs w:val="21"/>
        </w:rPr>
      </w:pPr>
    </w:p>
    <w:p w14:paraId="6B1F980A">
      <w:pPr>
        <w:spacing w:line="240" w:lineRule="exact"/>
        <w:rPr>
          <w:szCs w:val="21"/>
        </w:rPr>
      </w:pPr>
    </w:p>
    <w:p w14:paraId="3618AAB9">
      <w:pPr>
        <w:spacing w:line="240" w:lineRule="exact"/>
        <w:rPr>
          <w:szCs w:val="21"/>
        </w:rPr>
      </w:pPr>
    </w:p>
    <w:p w14:paraId="007F2F73">
      <w:pPr>
        <w:tabs>
          <w:tab w:val="left" w:pos="1620"/>
        </w:tabs>
        <w:spacing w:line="240" w:lineRule="exact"/>
        <w:rPr>
          <w:szCs w:val="21"/>
        </w:rPr>
      </w:pPr>
      <w:r>
        <w:rPr>
          <w:rFonts w:hint="eastAsia"/>
          <w:szCs w:val="21"/>
        </w:rPr>
        <w:t>*******************</w:t>
      </w:r>
    </w:p>
    <w:p w14:paraId="2A4C0494">
      <w:pPr>
        <w:spacing w:line="240" w:lineRule="exact"/>
        <w:rPr>
          <w:szCs w:val="21"/>
        </w:rPr>
      </w:pPr>
      <w:r>
        <w:rPr>
          <w:rFonts w:hint="eastAsia"/>
          <w:szCs w:val="21"/>
        </w:rPr>
        <w:t>*</w:t>
      </w:r>
      <w:r>
        <w:rPr>
          <w:rFonts w:ascii="Tahoma" w:hAnsi="Tahoma" w:eastAsia="MS PGothic" w:cs="Tahoma"/>
          <w:szCs w:val="21"/>
        </w:rPr>
        <w:t>20</w:t>
      </w:r>
      <w:r>
        <w:rPr>
          <w:rFonts w:hint="eastAsia" w:ascii="Tahoma" w:hAnsi="Tahoma" w:cs="Tahoma"/>
          <w:szCs w:val="21"/>
        </w:rPr>
        <w:t>25</w:t>
      </w:r>
      <w:r>
        <w:rPr>
          <w:rFonts w:ascii="Tahoma" w:hAnsi="Tahoma" w:eastAsia="MS PGothic" w:cs="Tahoma"/>
          <w:szCs w:val="21"/>
        </w:rPr>
        <w:t>年</w:t>
      </w:r>
      <w:r>
        <w:rPr>
          <w:rFonts w:hint="eastAsia" w:ascii="Tahoma" w:hAnsi="Tahoma" w:cs="Tahoma"/>
          <w:szCs w:val="21"/>
        </w:rPr>
        <w:t>年</w:t>
      </w:r>
      <w:r>
        <w:rPr>
          <w:rFonts w:ascii="Tahoma" w:hAnsi="Tahoma" w:eastAsia="MS PGothic" w:cs="Tahoma"/>
          <w:szCs w:val="21"/>
        </w:rPr>
        <w:t>度股</w:t>
      </w:r>
      <w:r>
        <w:rPr>
          <w:rFonts w:hint="eastAsia" w:ascii="宋体" w:hAnsi="宋体" w:cs="宋体"/>
          <w:szCs w:val="21"/>
        </w:rPr>
        <w:t>东</w:t>
      </w:r>
      <w:r>
        <w:rPr>
          <w:rFonts w:hint="eastAsia" w:ascii="MS PGothic" w:hAnsi="MS PGothic" w:eastAsia="MS PGothic" w:cs="MS PGothic"/>
          <w:szCs w:val="21"/>
        </w:rPr>
        <w:t>会</w:t>
      </w:r>
      <w:r>
        <w:rPr>
          <w:rFonts w:hint="eastAsia"/>
          <w:szCs w:val="21"/>
        </w:rPr>
        <w:t>*</w:t>
      </w:r>
    </w:p>
    <w:p w14:paraId="41586547">
      <w:pPr>
        <w:tabs>
          <w:tab w:val="left" w:pos="1260"/>
          <w:tab w:val="left" w:pos="1800"/>
        </w:tabs>
        <w:spacing w:line="240" w:lineRule="exact"/>
        <w:rPr>
          <w:szCs w:val="21"/>
        </w:rPr>
      </w:pPr>
      <w:r>
        <w:rPr>
          <w:rFonts w:hint="eastAsia"/>
          <w:szCs w:val="21"/>
        </w:rPr>
        <w:t>*</w:t>
      </w:r>
      <w:r>
        <w:rPr>
          <w:rFonts w:hint="eastAsia" w:ascii="黑体" w:eastAsia="黑体"/>
          <w:szCs w:val="21"/>
        </w:rPr>
        <w:t>文   件   之   七</w:t>
      </w:r>
      <w:r>
        <w:rPr>
          <w:rFonts w:hint="eastAsia"/>
          <w:szCs w:val="21"/>
        </w:rPr>
        <w:t>*</w:t>
      </w:r>
    </w:p>
    <w:p w14:paraId="77322D05">
      <w:pPr>
        <w:spacing w:line="240" w:lineRule="exact"/>
        <w:rPr>
          <w:szCs w:val="21"/>
        </w:rPr>
      </w:pPr>
      <w:r>
        <w:rPr>
          <w:rFonts w:hint="eastAsia"/>
          <w:szCs w:val="21"/>
        </w:rPr>
        <w:t>*******************</w:t>
      </w:r>
    </w:p>
    <w:p w14:paraId="5AF60144">
      <w:pPr>
        <w:pStyle w:val="27"/>
        <w:spacing w:line="400" w:lineRule="exact"/>
        <w:jc w:val="center"/>
        <w:rPr>
          <w:rFonts w:hint="eastAsia" w:ascii="黑体" w:hAnsi="宋体" w:eastAsia="黑体"/>
          <w:b/>
          <w:sz w:val="30"/>
          <w:szCs w:val="30"/>
          <w:lang w:eastAsia="zh-CN"/>
        </w:rPr>
      </w:pPr>
      <w:r>
        <w:rPr>
          <w:rFonts w:hint="eastAsia" w:ascii="黑体" w:hAnsi="宋体" w:eastAsia="黑体"/>
          <w:b/>
          <w:sz w:val="30"/>
          <w:szCs w:val="30"/>
          <w:lang w:eastAsia="zh-CN"/>
        </w:rPr>
        <w:t>山东好当家海洋发展股份有限公司</w:t>
      </w:r>
    </w:p>
    <w:p w14:paraId="2A9B6FA3">
      <w:pPr>
        <w:pStyle w:val="27"/>
        <w:spacing w:line="400" w:lineRule="exact"/>
        <w:jc w:val="center"/>
        <w:rPr>
          <w:rFonts w:hint="eastAsia" w:ascii="宋体" w:hAnsi="宋体" w:eastAsia="黑体"/>
          <w:sz w:val="30"/>
          <w:szCs w:val="30"/>
          <w:lang w:eastAsia="zh-CN"/>
        </w:rPr>
      </w:pPr>
      <w:r>
        <w:rPr>
          <w:rFonts w:hint="eastAsia" w:ascii="黑体" w:hAnsi="宋体" w:eastAsia="黑体"/>
          <w:b/>
          <w:sz w:val="30"/>
          <w:szCs w:val="30"/>
          <w:lang w:eastAsia="zh-CN"/>
        </w:rPr>
        <w:t>关于公司2025年度利润分配方案</w:t>
      </w:r>
    </w:p>
    <w:p w14:paraId="28168334">
      <w:pPr>
        <w:spacing w:line="360" w:lineRule="auto"/>
        <w:rPr>
          <w:rFonts w:hint="eastAsia" w:ascii="宋体" w:hAnsi="宋体" w:cs="宋体"/>
          <w:sz w:val="24"/>
        </w:rPr>
      </w:pPr>
      <w:r>
        <w:rPr>
          <w:rFonts w:hint="eastAsia" w:ascii="宋体" w:hAnsi="宋体" w:cs="宋体"/>
          <w:sz w:val="24"/>
        </w:rPr>
        <w:t>各位股东、股东代表：</w:t>
      </w:r>
    </w:p>
    <w:p w14:paraId="02B42435">
      <w:pPr>
        <w:pStyle w:val="25"/>
        <w:spacing w:line="400" w:lineRule="exact"/>
        <w:ind w:firstLine="480" w:firstLineChars="200"/>
        <w:rPr>
          <w:rFonts w:ascii="Times New Roman" w:hAnsi="Times New Roman"/>
          <w:sz w:val="24"/>
          <w:szCs w:val="24"/>
          <w:lang w:eastAsia="zh-CN"/>
        </w:rPr>
      </w:pPr>
      <w:r>
        <w:rPr>
          <w:rFonts w:ascii="Times New Roman" w:hAnsi="Times New Roman"/>
          <w:sz w:val="24"/>
          <w:szCs w:val="24"/>
          <w:lang w:eastAsia="zh-CN"/>
        </w:rPr>
        <w:t>现将2025年度利润分配方案向各位股东汇报，请各位股东审议。</w:t>
      </w:r>
    </w:p>
    <w:p w14:paraId="53DDAF36">
      <w:pPr>
        <w:spacing w:line="360" w:lineRule="auto"/>
        <w:ind w:firstLine="482"/>
        <w:rPr>
          <w:sz w:val="24"/>
        </w:rPr>
      </w:pPr>
      <w:r>
        <w:rPr>
          <w:sz w:val="24"/>
        </w:rPr>
        <w:t>经和信会计师事务所（特殊普通合伙）的审计，公司2025年度实现营业收入1,051,302,734.38元，实现归属母公司所有者的净利润29,872,348.03元，减2025年度提取法定盈余公积金计11,230,981.16元，减2024年度股东分配13,032,069.20元，减年度内其他综合收益结转留存收益0.00元，加年初未分配利润1,189,501,348.62元，2025年度可供股东分配的利润为1,195,110,646.29元。经董事会决议，公司2025年年度拟以实施权益分派股权登记日登记的总股本为基数分配利润，本次利润分配方案如下：</w:t>
      </w:r>
    </w:p>
    <w:p w14:paraId="7A97A007">
      <w:pPr>
        <w:spacing w:line="360" w:lineRule="auto"/>
        <w:ind w:firstLine="482"/>
        <w:rPr>
          <w:sz w:val="24"/>
        </w:rPr>
      </w:pPr>
      <w:r>
        <w:rPr>
          <w:sz w:val="24"/>
        </w:rPr>
        <w:t>公司以截止2025年12月31日的股本1,460,994,304 股为基数，向全体股东按每10股派发现金红利0.0614元（含税），共计派发现金8,970,505.03元，占净利润30.03%。派现后公司未分配利润余额为1,186,140,141.26元结转以后年度。</w:t>
      </w:r>
    </w:p>
    <w:p w14:paraId="25E33597">
      <w:pPr>
        <w:spacing w:line="480" w:lineRule="auto"/>
        <w:ind w:firstLine="480" w:firstLineChars="200"/>
        <w:rPr>
          <w:sz w:val="24"/>
        </w:rPr>
      </w:pPr>
      <w:r>
        <w:rPr>
          <w:sz w:val="24"/>
        </w:rPr>
        <w:t>上述议案请各位与会股东审议表决。</w:t>
      </w:r>
    </w:p>
    <w:p w14:paraId="188B9DE0">
      <w:pPr>
        <w:spacing w:line="360" w:lineRule="auto"/>
        <w:ind w:firstLine="482"/>
        <w:rPr>
          <w:rFonts w:hint="eastAsia" w:ascii="宋体" w:hAnsi="宋体"/>
          <w:sz w:val="24"/>
        </w:rPr>
      </w:pPr>
    </w:p>
    <w:p w14:paraId="3F3460CF">
      <w:pPr>
        <w:spacing w:line="360" w:lineRule="auto"/>
        <w:ind w:firstLine="480"/>
        <w:rPr>
          <w:rFonts w:hint="eastAsia" w:ascii="宋体" w:hAnsi="宋体"/>
          <w:sz w:val="24"/>
        </w:rPr>
      </w:pPr>
    </w:p>
    <w:p w14:paraId="5772B526">
      <w:pPr>
        <w:spacing w:line="360" w:lineRule="auto"/>
        <w:ind w:firstLine="480"/>
        <w:rPr>
          <w:rFonts w:hint="eastAsia" w:ascii="宋体" w:hAnsi="宋体"/>
          <w:sz w:val="24"/>
        </w:rPr>
      </w:pPr>
    </w:p>
    <w:p w14:paraId="669C4560">
      <w:pPr>
        <w:spacing w:line="360" w:lineRule="auto"/>
        <w:ind w:firstLine="480"/>
        <w:rPr>
          <w:rFonts w:hint="eastAsia" w:ascii="宋体" w:hAnsi="宋体"/>
          <w:sz w:val="24"/>
        </w:rPr>
      </w:pPr>
    </w:p>
    <w:p w14:paraId="141E5429">
      <w:pPr>
        <w:spacing w:line="360" w:lineRule="auto"/>
        <w:ind w:firstLine="480"/>
        <w:jc w:val="right"/>
        <w:rPr>
          <w:rFonts w:hint="eastAsia" w:ascii="宋体" w:hAnsi="宋体"/>
          <w:sz w:val="24"/>
        </w:rPr>
      </w:pPr>
      <w:r>
        <w:rPr>
          <w:rFonts w:hint="eastAsia" w:ascii="宋体" w:hAnsi="宋体"/>
          <w:sz w:val="24"/>
        </w:rPr>
        <w:t>山东好当家海洋发展股份有限公司</w:t>
      </w:r>
    </w:p>
    <w:p w14:paraId="6A8F6C07">
      <w:pPr>
        <w:spacing w:line="360" w:lineRule="auto"/>
        <w:ind w:firstLine="480"/>
        <w:jc w:val="right"/>
        <w:rPr>
          <w:rFonts w:hint="eastAsia" w:ascii="宋体" w:hAnsi="宋体"/>
          <w:sz w:val="24"/>
        </w:rPr>
      </w:pPr>
      <w:r>
        <w:rPr>
          <w:rFonts w:hint="eastAsia" w:ascii="宋体" w:hAnsi="宋体"/>
          <w:sz w:val="24"/>
        </w:rPr>
        <w:t xml:space="preserve">                                   董事会</w:t>
      </w:r>
    </w:p>
    <w:p w14:paraId="1B303F28">
      <w:pPr>
        <w:spacing w:line="360" w:lineRule="auto"/>
        <w:ind w:firstLine="480"/>
        <w:jc w:val="center"/>
        <w:rPr>
          <w:rFonts w:hint="eastAsia" w:ascii="宋体" w:hAnsi="宋体"/>
          <w:sz w:val="24"/>
        </w:rPr>
      </w:pPr>
      <w:r>
        <w:rPr>
          <w:rFonts w:hint="eastAsia" w:ascii="宋体" w:hAnsi="宋体"/>
          <w:sz w:val="24"/>
        </w:rPr>
        <w:t xml:space="preserve">                                                2</w:t>
      </w:r>
      <w:r>
        <w:rPr>
          <w:rFonts w:ascii="宋体" w:hAnsi="宋体"/>
          <w:sz w:val="24"/>
        </w:rPr>
        <w:t>02</w:t>
      </w:r>
      <w:r>
        <w:rPr>
          <w:rFonts w:hint="eastAsia" w:ascii="宋体" w:hAnsi="宋体"/>
          <w:sz w:val="24"/>
        </w:rPr>
        <w:t>6年5月18日</w:t>
      </w:r>
    </w:p>
    <w:p w14:paraId="20FFA1EF">
      <w:pPr>
        <w:spacing w:line="360" w:lineRule="auto"/>
        <w:ind w:firstLine="480"/>
        <w:jc w:val="center"/>
        <w:rPr>
          <w:rFonts w:hint="eastAsia" w:ascii="宋体" w:hAnsi="宋体"/>
          <w:sz w:val="24"/>
        </w:rPr>
      </w:pPr>
    </w:p>
    <w:p w14:paraId="24F3A99D">
      <w:pPr>
        <w:spacing w:line="360" w:lineRule="auto"/>
        <w:ind w:firstLine="555"/>
        <w:rPr>
          <w:sz w:val="24"/>
        </w:rPr>
      </w:pPr>
      <w:r>
        <w:rPr>
          <w:rFonts w:hint="eastAsia"/>
          <w:sz w:val="24"/>
        </w:rPr>
        <w:t xml:space="preserve">         </w:t>
      </w:r>
    </w:p>
    <w:p w14:paraId="32BEBBD6">
      <w:pPr>
        <w:spacing w:line="360" w:lineRule="auto"/>
        <w:ind w:firstLine="555"/>
        <w:rPr>
          <w:sz w:val="24"/>
        </w:rPr>
      </w:pPr>
    </w:p>
    <w:p w14:paraId="5039F36D">
      <w:pPr>
        <w:tabs>
          <w:tab w:val="left" w:pos="1620"/>
        </w:tabs>
        <w:spacing w:line="240" w:lineRule="exact"/>
        <w:rPr>
          <w:szCs w:val="21"/>
        </w:rPr>
      </w:pPr>
    </w:p>
    <w:p w14:paraId="3C2C1DCE">
      <w:pPr>
        <w:tabs>
          <w:tab w:val="left" w:pos="1620"/>
        </w:tabs>
        <w:spacing w:line="240" w:lineRule="exact"/>
        <w:rPr>
          <w:szCs w:val="21"/>
        </w:rPr>
      </w:pPr>
      <w:r>
        <w:rPr>
          <w:rFonts w:hint="eastAsia"/>
          <w:szCs w:val="21"/>
        </w:rPr>
        <w:t>*******************</w:t>
      </w:r>
    </w:p>
    <w:p w14:paraId="03803F22">
      <w:pPr>
        <w:spacing w:line="240" w:lineRule="exact"/>
        <w:rPr>
          <w:szCs w:val="21"/>
        </w:rPr>
      </w:pPr>
      <w:r>
        <w:rPr>
          <w:rFonts w:hint="eastAsia"/>
          <w:szCs w:val="21"/>
        </w:rPr>
        <w:t>*</w:t>
      </w:r>
      <w:r>
        <w:rPr>
          <w:rFonts w:ascii="Tahoma" w:hAnsi="Tahoma" w:eastAsia="MS PGothic" w:cs="Tahoma"/>
          <w:szCs w:val="21"/>
        </w:rPr>
        <w:t>20</w:t>
      </w:r>
      <w:r>
        <w:rPr>
          <w:rFonts w:hint="eastAsia" w:ascii="Tahoma" w:hAnsi="Tahoma" w:cs="Tahoma"/>
          <w:szCs w:val="21"/>
        </w:rPr>
        <w:t>25</w:t>
      </w:r>
      <w:r>
        <w:rPr>
          <w:rFonts w:ascii="Tahoma" w:hAnsi="Tahoma" w:eastAsia="MS PGothic" w:cs="Tahoma"/>
          <w:szCs w:val="21"/>
        </w:rPr>
        <w:t>年</w:t>
      </w:r>
      <w:r>
        <w:rPr>
          <w:rFonts w:hint="eastAsia" w:ascii="Tahoma" w:hAnsi="Tahoma" w:cs="Tahoma"/>
          <w:szCs w:val="21"/>
        </w:rPr>
        <w:t>年</w:t>
      </w:r>
      <w:r>
        <w:rPr>
          <w:rFonts w:ascii="Tahoma" w:hAnsi="Tahoma" w:eastAsia="MS PGothic" w:cs="Tahoma"/>
          <w:szCs w:val="21"/>
        </w:rPr>
        <w:t>度股</w:t>
      </w:r>
      <w:r>
        <w:rPr>
          <w:rFonts w:hint="eastAsia" w:ascii="宋体" w:hAnsi="宋体" w:cs="宋体"/>
          <w:szCs w:val="21"/>
        </w:rPr>
        <w:t>东</w:t>
      </w:r>
      <w:r>
        <w:rPr>
          <w:rFonts w:hint="eastAsia" w:ascii="MS PGothic" w:hAnsi="MS PGothic" w:eastAsia="MS PGothic" w:cs="MS PGothic"/>
          <w:szCs w:val="21"/>
        </w:rPr>
        <w:t>会</w:t>
      </w:r>
      <w:r>
        <w:rPr>
          <w:rFonts w:hint="eastAsia"/>
          <w:szCs w:val="21"/>
        </w:rPr>
        <w:t>*</w:t>
      </w:r>
    </w:p>
    <w:p w14:paraId="6A029FEA">
      <w:pPr>
        <w:tabs>
          <w:tab w:val="left" w:pos="1260"/>
          <w:tab w:val="left" w:pos="1800"/>
        </w:tabs>
        <w:spacing w:line="240" w:lineRule="exact"/>
        <w:rPr>
          <w:szCs w:val="21"/>
        </w:rPr>
      </w:pPr>
      <w:r>
        <w:rPr>
          <w:rFonts w:hint="eastAsia"/>
          <w:szCs w:val="21"/>
        </w:rPr>
        <w:t>*</w:t>
      </w:r>
      <w:r>
        <w:rPr>
          <w:rFonts w:hint="eastAsia" w:ascii="黑体" w:eastAsia="黑体"/>
          <w:szCs w:val="21"/>
        </w:rPr>
        <w:t>文   件   之   八</w:t>
      </w:r>
      <w:r>
        <w:rPr>
          <w:rFonts w:hint="eastAsia"/>
          <w:szCs w:val="21"/>
        </w:rPr>
        <w:t>*</w:t>
      </w:r>
    </w:p>
    <w:p w14:paraId="01BDC66D">
      <w:pPr>
        <w:spacing w:line="240" w:lineRule="exact"/>
        <w:rPr>
          <w:szCs w:val="21"/>
        </w:rPr>
      </w:pPr>
      <w:r>
        <w:rPr>
          <w:rFonts w:hint="eastAsia"/>
          <w:szCs w:val="21"/>
        </w:rPr>
        <w:t>*******************</w:t>
      </w:r>
    </w:p>
    <w:p w14:paraId="68720515">
      <w:pPr>
        <w:spacing w:line="400" w:lineRule="exact"/>
        <w:ind w:firstLine="562" w:firstLineChars="200"/>
        <w:jc w:val="center"/>
        <w:rPr>
          <w:rFonts w:hint="eastAsia" w:ascii="宋体" w:hAnsi="宋体" w:cs="宋体"/>
          <w:b/>
          <w:kern w:val="0"/>
          <w:sz w:val="28"/>
          <w:szCs w:val="28"/>
        </w:rPr>
      </w:pPr>
      <w:r>
        <w:rPr>
          <w:rFonts w:hint="eastAsia" w:ascii="宋体" w:hAnsi="宋体" w:cs="宋体"/>
          <w:b/>
          <w:kern w:val="0"/>
          <w:sz w:val="28"/>
          <w:szCs w:val="28"/>
        </w:rPr>
        <w:t>山东好当家海洋发展股份有限公司</w:t>
      </w:r>
    </w:p>
    <w:p w14:paraId="7939ED64">
      <w:pPr>
        <w:spacing w:line="400" w:lineRule="exact"/>
        <w:ind w:firstLine="562" w:firstLineChars="200"/>
        <w:jc w:val="center"/>
        <w:rPr>
          <w:rFonts w:hint="eastAsia" w:ascii="宋体" w:hAnsi="宋体" w:cs="宋体"/>
          <w:b/>
          <w:kern w:val="0"/>
          <w:sz w:val="28"/>
          <w:szCs w:val="28"/>
        </w:rPr>
      </w:pPr>
      <w:r>
        <w:rPr>
          <w:rFonts w:hint="eastAsia" w:ascii="宋体" w:hAnsi="宋体" w:cs="宋体"/>
          <w:b/>
          <w:kern w:val="0"/>
          <w:sz w:val="28"/>
          <w:szCs w:val="28"/>
        </w:rPr>
        <w:t>关于公司董事、高级管理人员确认2025年度薪酬执行情况及2026年度薪酬方案的议案</w:t>
      </w:r>
    </w:p>
    <w:p w14:paraId="3E550259">
      <w:pPr>
        <w:spacing w:line="360" w:lineRule="auto"/>
        <w:rPr>
          <w:rFonts w:hint="eastAsia" w:ascii="宋体" w:hAnsi="宋体" w:cs="宋体"/>
          <w:sz w:val="24"/>
        </w:rPr>
      </w:pPr>
      <w:r>
        <w:rPr>
          <w:rFonts w:hint="eastAsia" w:ascii="宋体" w:hAnsi="宋体" w:cs="宋体"/>
          <w:sz w:val="24"/>
        </w:rPr>
        <w:t>各位股东、股东代表：</w:t>
      </w:r>
    </w:p>
    <w:p w14:paraId="5E47F542">
      <w:pPr>
        <w:spacing w:line="400" w:lineRule="exact"/>
        <w:ind w:firstLine="562" w:firstLineChars="200"/>
        <w:rPr>
          <w:rFonts w:hint="eastAsia" w:ascii="宋体" w:hAnsi="宋体" w:cs="宋体"/>
          <w:b/>
          <w:kern w:val="0"/>
          <w:sz w:val="28"/>
          <w:szCs w:val="28"/>
        </w:rPr>
      </w:pPr>
    </w:p>
    <w:p w14:paraId="0998D885">
      <w:pPr>
        <w:pStyle w:val="25"/>
        <w:spacing w:line="360" w:lineRule="auto"/>
        <w:ind w:firstLine="480"/>
        <w:contextualSpacing/>
        <w:rPr>
          <w:rFonts w:hint="eastAsia" w:ascii="宋体" w:hAnsi="宋体"/>
          <w:sz w:val="24"/>
          <w:szCs w:val="24"/>
          <w:lang w:eastAsia="zh-CN"/>
        </w:rPr>
      </w:pPr>
      <w:r>
        <w:rPr>
          <w:rFonts w:hint="eastAsia" w:ascii="宋体" w:hAnsi="宋体"/>
          <w:sz w:val="24"/>
          <w:szCs w:val="24"/>
          <w:lang w:eastAsia="zh-CN"/>
        </w:rPr>
        <w:t>根据相关法律法规和《公司章程》等规定，结合目前经济环境、公司所处地区、行业和规模等实际情况，在充分体现短期和长期激励相结合，在保障股东利益、实现公司与管理层共同发展的前提下，制定了公司董事、监事及高级管理人员的薪酬方案，具体如下：</w:t>
      </w:r>
    </w:p>
    <w:p w14:paraId="47B71D3D">
      <w:pPr>
        <w:pStyle w:val="25"/>
        <w:spacing w:line="360" w:lineRule="auto"/>
        <w:contextualSpacing/>
        <w:rPr>
          <w:rFonts w:hint="eastAsia" w:ascii="宋体" w:hAnsi="宋体"/>
          <w:b/>
          <w:bCs/>
          <w:sz w:val="24"/>
          <w:szCs w:val="24"/>
          <w:lang w:eastAsia="zh-CN"/>
        </w:rPr>
      </w:pPr>
      <w:r>
        <w:rPr>
          <w:rFonts w:hint="eastAsia" w:ascii="宋体" w:hAnsi="宋体"/>
          <w:b/>
          <w:bCs/>
          <w:sz w:val="24"/>
          <w:szCs w:val="24"/>
          <w:lang w:eastAsia="zh-CN"/>
        </w:rPr>
        <w:t>一、2025 年度薪酬确认情况</w:t>
      </w:r>
    </w:p>
    <w:p w14:paraId="56E98C78">
      <w:pPr>
        <w:pStyle w:val="27"/>
        <w:spacing w:line="360" w:lineRule="auto"/>
        <w:ind w:firstLine="480" w:firstLineChars="200"/>
        <w:contextualSpacing/>
        <w:rPr>
          <w:rFonts w:hint="eastAsia" w:ascii="宋体" w:hAnsi="宋体"/>
          <w:b/>
          <w:bCs/>
          <w:sz w:val="24"/>
          <w:szCs w:val="24"/>
          <w:lang w:eastAsia="zh-CN"/>
        </w:rPr>
      </w:pPr>
      <w:r>
        <w:rPr>
          <w:rFonts w:hint="eastAsia" w:ascii="宋体" w:hAnsi="宋体"/>
          <w:sz w:val="24"/>
          <w:szCs w:val="24"/>
          <w:lang w:eastAsia="zh-CN"/>
        </w:rPr>
        <w:t>公司2025年度董事及高级管理人员薪酬方案于2025年5月19日召开的2024年度股东大会审议通过，根据薪酬考核方案的规定，2025年度公司董事、监事、高级管理人员薪酬情况详见《好当家2025年年度报告》相应章节披露内容。</w:t>
      </w:r>
    </w:p>
    <w:p w14:paraId="58BEB33B">
      <w:pPr>
        <w:pStyle w:val="25"/>
        <w:spacing w:line="360" w:lineRule="auto"/>
        <w:contextualSpacing/>
        <w:rPr>
          <w:rFonts w:hint="eastAsia" w:ascii="宋体" w:hAnsi="宋体"/>
          <w:b/>
          <w:bCs/>
          <w:sz w:val="24"/>
          <w:szCs w:val="24"/>
          <w:lang w:eastAsia="zh-CN"/>
        </w:rPr>
      </w:pPr>
      <w:r>
        <w:rPr>
          <w:rFonts w:hint="eastAsia" w:ascii="宋体" w:hAnsi="宋体"/>
          <w:b/>
          <w:bCs/>
          <w:sz w:val="24"/>
          <w:szCs w:val="24"/>
          <w:lang w:eastAsia="zh-CN"/>
        </w:rPr>
        <w:t>二、2026 年度薪酬方案</w:t>
      </w:r>
    </w:p>
    <w:p w14:paraId="26EEBDE5">
      <w:pPr>
        <w:pStyle w:val="25"/>
        <w:spacing w:line="360" w:lineRule="auto"/>
        <w:contextualSpacing/>
        <w:rPr>
          <w:rFonts w:hint="eastAsia" w:ascii="宋体" w:hAnsi="宋体"/>
          <w:sz w:val="24"/>
          <w:szCs w:val="24"/>
          <w:lang w:eastAsia="zh-CN"/>
        </w:rPr>
      </w:pPr>
      <w:r>
        <w:rPr>
          <w:rFonts w:hint="eastAsia" w:ascii="宋体" w:hAnsi="宋体"/>
          <w:sz w:val="24"/>
          <w:szCs w:val="24"/>
          <w:lang w:eastAsia="zh-CN"/>
        </w:rPr>
        <w:t>1、公司董事薪酬方案</w:t>
      </w:r>
    </w:p>
    <w:p w14:paraId="2FF7BD67">
      <w:pPr>
        <w:pStyle w:val="25"/>
        <w:spacing w:line="360" w:lineRule="auto"/>
        <w:contextualSpacing/>
        <w:rPr>
          <w:rFonts w:hint="eastAsia" w:ascii="宋体" w:hAnsi="宋体"/>
          <w:sz w:val="24"/>
          <w:szCs w:val="24"/>
          <w:lang w:eastAsia="zh-CN"/>
        </w:rPr>
      </w:pPr>
      <w:r>
        <w:rPr>
          <w:rFonts w:hint="eastAsia" w:ascii="宋体" w:hAnsi="宋体"/>
          <w:sz w:val="24"/>
          <w:szCs w:val="24"/>
          <w:lang w:eastAsia="zh-CN"/>
        </w:rPr>
        <w:t>（1）非独立董事津贴方案：在公司担任高级管理职务的非独立董事，其薪酬标准按其所担任的职务执行，不另领取董事薪酬；未在公司担任高级管理职务的非独立董事，按其在公司担任的实际工作岗位领取薪酬；未在公司任职且无实际工作岗位的非独立董事不在公司领取薪酬。</w:t>
      </w:r>
    </w:p>
    <w:p w14:paraId="4E29EFA2">
      <w:pPr>
        <w:pStyle w:val="25"/>
        <w:spacing w:line="360" w:lineRule="auto"/>
        <w:contextualSpacing/>
        <w:rPr>
          <w:rFonts w:hint="eastAsia" w:ascii="宋体" w:hAnsi="宋体"/>
          <w:sz w:val="24"/>
          <w:szCs w:val="24"/>
          <w:lang w:eastAsia="zh-CN"/>
        </w:rPr>
      </w:pPr>
      <w:r>
        <w:rPr>
          <w:rFonts w:hint="eastAsia" w:ascii="宋体" w:hAnsi="宋体"/>
          <w:sz w:val="24"/>
          <w:szCs w:val="24"/>
          <w:lang w:eastAsia="zh-CN"/>
        </w:rPr>
        <w:t>（2）独立董事津贴方案：公司聘请的独立董事津贴为5万元/年（含税），发放方式为每年发放一次。</w:t>
      </w:r>
    </w:p>
    <w:p w14:paraId="39DB042D">
      <w:pPr>
        <w:pStyle w:val="25"/>
        <w:spacing w:line="360" w:lineRule="auto"/>
        <w:contextualSpacing/>
        <w:rPr>
          <w:rFonts w:hint="eastAsia" w:ascii="宋体" w:hAnsi="宋体"/>
          <w:sz w:val="24"/>
          <w:szCs w:val="24"/>
          <w:lang w:eastAsia="zh-CN"/>
        </w:rPr>
      </w:pPr>
      <w:r>
        <w:rPr>
          <w:rFonts w:hint="eastAsia" w:ascii="宋体" w:hAnsi="宋体"/>
          <w:sz w:val="24"/>
          <w:szCs w:val="24"/>
          <w:lang w:eastAsia="zh-CN"/>
        </w:rPr>
        <w:t>2、公司高级管理人员薪酬方案</w:t>
      </w:r>
    </w:p>
    <w:p w14:paraId="223C0286">
      <w:pPr>
        <w:pStyle w:val="25"/>
        <w:spacing w:line="360" w:lineRule="auto"/>
        <w:ind w:firstLine="480" w:firstLineChars="200"/>
        <w:contextualSpacing/>
        <w:rPr>
          <w:rFonts w:hint="eastAsia" w:ascii="宋体" w:hAnsi="宋体"/>
          <w:sz w:val="24"/>
          <w:szCs w:val="24"/>
          <w:lang w:eastAsia="zh-CN"/>
        </w:rPr>
      </w:pPr>
      <w:r>
        <w:rPr>
          <w:rFonts w:hint="eastAsia" w:ascii="宋体" w:hAnsi="宋体"/>
          <w:sz w:val="24"/>
          <w:szCs w:val="24"/>
          <w:lang w:eastAsia="zh-CN"/>
        </w:rPr>
        <w:t>公司高级管理人员根据其在公司担任具体管理职务按公司相关薪酬规定领取薪酬。</w:t>
      </w:r>
    </w:p>
    <w:p w14:paraId="73398FCA">
      <w:pPr>
        <w:pStyle w:val="25"/>
        <w:spacing w:line="360" w:lineRule="auto"/>
        <w:contextualSpacing/>
        <w:rPr>
          <w:rFonts w:hint="eastAsia" w:ascii="宋体" w:hAnsi="宋体"/>
          <w:sz w:val="24"/>
          <w:szCs w:val="24"/>
          <w:lang w:eastAsia="zh-CN"/>
        </w:rPr>
      </w:pPr>
      <w:r>
        <w:rPr>
          <w:rFonts w:hint="eastAsia" w:ascii="宋体" w:hAnsi="宋体"/>
          <w:sz w:val="24"/>
          <w:szCs w:val="24"/>
          <w:lang w:eastAsia="zh-CN"/>
        </w:rPr>
        <w:t>3、其他说明</w:t>
      </w:r>
    </w:p>
    <w:p w14:paraId="024E32AB">
      <w:pPr>
        <w:pStyle w:val="25"/>
        <w:spacing w:line="360" w:lineRule="auto"/>
        <w:contextualSpacing/>
        <w:rPr>
          <w:rFonts w:hint="eastAsia" w:ascii="宋体" w:hAnsi="宋体"/>
          <w:sz w:val="24"/>
          <w:szCs w:val="24"/>
          <w:lang w:eastAsia="zh-CN"/>
        </w:rPr>
      </w:pPr>
      <w:r>
        <w:rPr>
          <w:rFonts w:hint="eastAsia" w:ascii="宋体" w:hAnsi="宋体"/>
          <w:sz w:val="24"/>
          <w:szCs w:val="24"/>
          <w:lang w:eastAsia="zh-CN"/>
        </w:rPr>
        <w:t>（1）上述薪酬均为税前金额，涉及的个人所得税由公司统一代扣代缴。</w:t>
      </w:r>
    </w:p>
    <w:p w14:paraId="0CFA8E62">
      <w:pPr>
        <w:pStyle w:val="25"/>
        <w:spacing w:line="360" w:lineRule="auto"/>
        <w:contextualSpacing/>
        <w:rPr>
          <w:rFonts w:hint="eastAsia" w:ascii="宋体" w:hAnsi="宋体"/>
          <w:sz w:val="24"/>
          <w:szCs w:val="24"/>
          <w:lang w:eastAsia="zh-CN"/>
        </w:rPr>
      </w:pPr>
      <w:r>
        <w:rPr>
          <w:rFonts w:hint="eastAsia" w:ascii="宋体" w:hAnsi="宋体"/>
          <w:sz w:val="24"/>
          <w:szCs w:val="24"/>
          <w:lang w:eastAsia="zh-CN"/>
        </w:rPr>
        <w:t>（2）公司董事、高级管理人员因换届、改选、任期内辞职等原因离任的，按其实际任期计算并予以发放。</w:t>
      </w:r>
    </w:p>
    <w:p w14:paraId="03350B4B">
      <w:pPr>
        <w:spacing w:line="480" w:lineRule="auto"/>
        <w:ind w:firstLine="480" w:firstLineChars="200"/>
        <w:rPr>
          <w:rFonts w:hint="eastAsia" w:ascii="宋体" w:hAnsi="宋体"/>
          <w:sz w:val="24"/>
        </w:rPr>
      </w:pPr>
      <w:r>
        <w:rPr>
          <w:rFonts w:hint="eastAsia" w:ascii="宋体" w:hAnsi="宋体"/>
          <w:sz w:val="24"/>
        </w:rPr>
        <w:t>上述议案请各位与会股东审议表决。</w:t>
      </w:r>
    </w:p>
    <w:p w14:paraId="24FEDD82">
      <w:pPr>
        <w:spacing w:line="480" w:lineRule="auto"/>
        <w:rPr>
          <w:rFonts w:hint="eastAsia" w:ascii="宋体" w:hAnsi="宋体"/>
          <w:sz w:val="24"/>
        </w:rPr>
      </w:pPr>
    </w:p>
    <w:p w14:paraId="60848152">
      <w:pPr>
        <w:spacing w:line="480" w:lineRule="auto"/>
        <w:ind w:firstLine="480" w:firstLineChars="200"/>
        <w:rPr>
          <w:rFonts w:hint="eastAsia" w:ascii="宋体" w:hAnsi="宋体"/>
          <w:sz w:val="24"/>
        </w:rPr>
      </w:pPr>
    </w:p>
    <w:p w14:paraId="56622079">
      <w:pPr>
        <w:spacing w:line="360" w:lineRule="auto"/>
        <w:ind w:firstLine="555"/>
        <w:jc w:val="right"/>
        <w:rPr>
          <w:sz w:val="24"/>
        </w:rPr>
      </w:pPr>
      <w:r>
        <w:rPr>
          <w:rFonts w:hint="eastAsia"/>
          <w:sz w:val="24"/>
        </w:rPr>
        <w:t xml:space="preserve">                　　 山东好当家海洋发展股份有限公司</w:t>
      </w:r>
    </w:p>
    <w:p w14:paraId="0D849B33">
      <w:pPr>
        <w:spacing w:line="360" w:lineRule="auto"/>
        <w:ind w:firstLine="555"/>
        <w:jc w:val="right"/>
        <w:rPr>
          <w:sz w:val="24"/>
        </w:rPr>
      </w:pPr>
      <w:r>
        <w:rPr>
          <w:rFonts w:hint="eastAsia"/>
          <w:sz w:val="24"/>
        </w:rPr>
        <w:t>董事会</w:t>
      </w:r>
    </w:p>
    <w:p w14:paraId="3342B3D1">
      <w:pPr>
        <w:spacing w:line="360" w:lineRule="auto"/>
        <w:ind w:firstLine="555"/>
        <w:jc w:val="right"/>
        <w:rPr>
          <w:rFonts w:hint="eastAsia" w:ascii="宋体" w:hAnsi="宋体"/>
          <w:sz w:val="24"/>
        </w:rPr>
      </w:pPr>
      <w:r>
        <w:rPr>
          <w:rFonts w:hint="eastAsia" w:ascii="宋体" w:hAnsi="宋体"/>
          <w:sz w:val="24"/>
        </w:rPr>
        <w:t xml:space="preserve">                           　 2026年5月18日</w:t>
      </w:r>
    </w:p>
    <w:p w14:paraId="20F92CEC">
      <w:pPr>
        <w:spacing w:line="400" w:lineRule="exact"/>
        <w:ind w:firstLine="562" w:firstLineChars="200"/>
        <w:rPr>
          <w:rFonts w:hint="eastAsia" w:ascii="宋体" w:hAnsi="宋体" w:cs="宋体"/>
          <w:b/>
          <w:kern w:val="0"/>
          <w:sz w:val="28"/>
          <w:szCs w:val="28"/>
        </w:rPr>
      </w:pPr>
    </w:p>
    <w:p w14:paraId="123D24F7">
      <w:pPr>
        <w:spacing w:line="400" w:lineRule="exact"/>
        <w:ind w:firstLine="562" w:firstLineChars="200"/>
        <w:rPr>
          <w:rFonts w:hint="eastAsia" w:ascii="宋体" w:hAnsi="宋体" w:cs="宋体"/>
          <w:b/>
          <w:kern w:val="0"/>
          <w:sz w:val="28"/>
          <w:szCs w:val="28"/>
        </w:rPr>
      </w:pPr>
    </w:p>
    <w:p w14:paraId="4EBFD94B">
      <w:pPr>
        <w:spacing w:line="400" w:lineRule="exact"/>
        <w:ind w:firstLine="562" w:firstLineChars="200"/>
        <w:rPr>
          <w:rFonts w:hint="eastAsia" w:ascii="宋体" w:hAnsi="宋体" w:cs="宋体"/>
          <w:b/>
          <w:kern w:val="0"/>
          <w:sz w:val="28"/>
          <w:szCs w:val="28"/>
        </w:rPr>
      </w:pPr>
    </w:p>
    <w:p w14:paraId="30FFE99D">
      <w:pPr>
        <w:spacing w:line="400" w:lineRule="exact"/>
        <w:ind w:firstLine="562" w:firstLineChars="200"/>
        <w:rPr>
          <w:rFonts w:hint="eastAsia" w:ascii="宋体" w:hAnsi="宋体" w:cs="宋体"/>
          <w:b/>
          <w:kern w:val="0"/>
          <w:sz w:val="28"/>
          <w:szCs w:val="28"/>
        </w:rPr>
      </w:pPr>
    </w:p>
    <w:p w14:paraId="64B1FDEE">
      <w:pPr>
        <w:spacing w:line="400" w:lineRule="exact"/>
        <w:ind w:firstLine="562" w:firstLineChars="200"/>
        <w:rPr>
          <w:rFonts w:hint="eastAsia" w:ascii="宋体" w:hAnsi="宋体" w:cs="宋体"/>
          <w:b/>
          <w:kern w:val="0"/>
          <w:sz w:val="28"/>
          <w:szCs w:val="28"/>
        </w:rPr>
      </w:pPr>
    </w:p>
    <w:p w14:paraId="1B6781C2">
      <w:pPr>
        <w:spacing w:line="400" w:lineRule="exact"/>
        <w:ind w:firstLine="562" w:firstLineChars="200"/>
        <w:rPr>
          <w:rFonts w:hint="eastAsia" w:ascii="宋体" w:hAnsi="宋体" w:cs="宋体"/>
          <w:b/>
          <w:kern w:val="0"/>
          <w:sz w:val="28"/>
          <w:szCs w:val="28"/>
        </w:rPr>
      </w:pPr>
    </w:p>
    <w:p w14:paraId="6CE9B156">
      <w:pPr>
        <w:spacing w:line="400" w:lineRule="exact"/>
        <w:ind w:firstLine="562" w:firstLineChars="200"/>
        <w:rPr>
          <w:rFonts w:hint="eastAsia" w:ascii="宋体" w:hAnsi="宋体" w:cs="宋体"/>
          <w:b/>
          <w:kern w:val="0"/>
          <w:sz w:val="28"/>
          <w:szCs w:val="28"/>
        </w:rPr>
      </w:pPr>
    </w:p>
    <w:p w14:paraId="5C45237B">
      <w:pPr>
        <w:spacing w:line="400" w:lineRule="exact"/>
        <w:ind w:firstLine="562" w:firstLineChars="200"/>
        <w:rPr>
          <w:rFonts w:hint="eastAsia" w:ascii="宋体" w:hAnsi="宋体" w:cs="宋体"/>
          <w:b/>
          <w:kern w:val="0"/>
          <w:sz w:val="28"/>
          <w:szCs w:val="28"/>
        </w:rPr>
      </w:pPr>
    </w:p>
    <w:p w14:paraId="636F0D9B">
      <w:pPr>
        <w:spacing w:line="400" w:lineRule="exact"/>
        <w:ind w:firstLine="562" w:firstLineChars="200"/>
        <w:rPr>
          <w:rFonts w:hint="eastAsia" w:ascii="宋体" w:hAnsi="宋体" w:cs="宋体"/>
          <w:b/>
          <w:kern w:val="0"/>
          <w:sz w:val="28"/>
          <w:szCs w:val="28"/>
        </w:rPr>
      </w:pPr>
    </w:p>
    <w:p w14:paraId="3669F10A">
      <w:pPr>
        <w:spacing w:line="400" w:lineRule="exact"/>
        <w:ind w:firstLine="562" w:firstLineChars="200"/>
        <w:rPr>
          <w:rFonts w:hint="eastAsia" w:ascii="宋体" w:hAnsi="宋体" w:cs="宋体"/>
          <w:b/>
          <w:kern w:val="0"/>
          <w:sz w:val="28"/>
          <w:szCs w:val="28"/>
        </w:rPr>
      </w:pPr>
    </w:p>
    <w:p w14:paraId="1950DE88">
      <w:pPr>
        <w:spacing w:line="400" w:lineRule="exact"/>
        <w:ind w:firstLine="562" w:firstLineChars="200"/>
        <w:rPr>
          <w:rFonts w:hint="eastAsia" w:ascii="宋体" w:hAnsi="宋体" w:cs="宋体"/>
          <w:b/>
          <w:kern w:val="0"/>
          <w:sz w:val="28"/>
          <w:szCs w:val="28"/>
        </w:rPr>
      </w:pPr>
    </w:p>
    <w:p w14:paraId="4E75CF56">
      <w:pPr>
        <w:spacing w:line="400" w:lineRule="exact"/>
        <w:ind w:firstLine="562" w:firstLineChars="200"/>
        <w:rPr>
          <w:rFonts w:hint="eastAsia" w:ascii="宋体" w:hAnsi="宋体" w:cs="宋体"/>
          <w:b/>
          <w:kern w:val="0"/>
          <w:sz w:val="28"/>
          <w:szCs w:val="28"/>
        </w:rPr>
      </w:pPr>
    </w:p>
    <w:p w14:paraId="189FFE78">
      <w:pPr>
        <w:spacing w:line="400" w:lineRule="exact"/>
        <w:ind w:firstLine="562" w:firstLineChars="200"/>
        <w:rPr>
          <w:rFonts w:hint="eastAsia" w:ascii="宋体" w:hAnsi="宋体" w:cs="宋体"/>
          <w:b/>
          <w:kern w:val="0"/>
          <w:sz w:val="28"/>
          <w:szCs w:val="28"/>
        </w:rPr>
      </w:pPr>
    </w:p>
    <w:p w14:paraId="4CF20E78">
      <w:pPr>
        <w:spacing w:line="400" w:lineRule="exact"/>
        <w:ind w:firstLine="562" w:firstLineChars="200"/>
        <w:rPr>
          <w:rFonts w:hint="eastAsia" w:ascii="宋体" w:hAnsi="宋体" w:cs="宋体"/>
          <w:b/>
          <w:kern w:val="0"/>
          <w:sz w:val="28"/>
          <w:szCs w:val="28"/>
        </w:rPr>
      </w:pPr>
    </w:p>
    <w:p w14:paraId="7D21F95E">
      <w:pPr>
        <w:spacing w:line="400" w:lineRule="exact"/>
        <w:ind w:firstLine="562" w:firstLineChars="200"/>
        <w:rPr>
          <w:rFonts w:hint="eastAsia" w:ascii="宋体" w:hAnsi="宋体" w:cs="宋体"/>
          <w:b/>
          <w:kern w:val="0"/>
          <w:sz w:val="28"/>
          <w:szCs w:val="28"/>
        </w:rPr>
      </w:pPr>
    </w:p>
    <w:p w14:paraId="1B687AF2">
      <w:pPr>
        <w:spacing w:line="400" w:lineRule="exact"/>
        <w:ind w:firstLine="562" w:firstLineChars="200"/>
        <w:rPr>
          <w:rFonts w:hint="eastAsia" w:ascii="宋体" w:hAnsi="宋体" w:cs="宋体"/>
          <w:b/>
          <w:kern w:val="0"/>
          <w:sz w:val="28"/>
          <w:szCs w:val="28"/>
        </w:rPr>
      </w:pPr>
    </w:p>
    <w:p w14:paraId="124149B1">
      <w:pPr>
        <w:spacing w:line="400" w:lineRule="exact"/>
        <w:ind w:firstLine="562" w:firstLineChars="200"/>
        <w:rPr>
          <w:rFonts w:hint="eastAsia" w:ascii="宋体" w:hAnsi="宋体" w:cs="宋体"/>
          <w:b/>
          <w:kern w:val="0"/>
          <w:sz w:val="28"/>
          <w:szCs w:val="28"/>
        </w:rPr>
      </w:pPr>
    </w:p>
    <w:p w14:paraId="6DB4D27B">
      <w:pPr>
        <w:spacing w:line="400" w:lineRule="exact"/>
        <w:ind w:firstLine="562" w:firstLineChars="200"/>
        <w:rPr>
          <w:rFonts w:hint="eastAsia" w:ascii="宋体" w:hAnsi="宋体" w:cs="宋体"/>
          <w:b/>
          <w:kern w:val="0"/>
          <w:sz w:val="28"/>
          <w:szCs w:val="28"/>
        </w:rPr>
      </w:pPr>
    </w:p>
    <w:p w14:paraId="4CFBA7F4">
      <w:pPr>
        <w:spacing w:line="400" w:lineRule="exact"/>
        <w:ind w:firstLine="562" w:firstLineChars="200"/>
        <w:rPr>
          <w:rFonts w:hint="eastAsia" w:ascii="宋体" w:hAnsi="宋体" w:cs="宋体"/>
          <w:b/>
          <w:kern w:val="0"/>
          <w:sz w:val="28"/>
          <w:szCs w:val="28"/>
        </w:rPr>
      </w:pPr>
    </w:p>
    <w:p w14:paraId="6D670B70">
      <w:pPr>
        <w:spacing w:line="400" w:lineRule="exact"/>
        <w:ind w:firstLine="562" w:firstLineChars="200"/>
        <w:rPr>
          <w:rFonts w:hint="eastAsia" w:ascii="宋体" w:hAnsi="宋体" w:cs="宋体"/>
          <w:b/>
          <w:kern w:val="0"/>
          <w:sz w:val="28"/>
          <w:szCs w:val="28"/>
        </w:rPr>
      </w:pPr>
    </w:p>
    <w:p w14:paraId="252EB2B0">
      <w:pPr>
        <w:spacing w:line="400" w:lineRule="exact"/>
        <w:ind w:firstLine="562" w:firstLineChars="200"/>
        <w:rPr>
          <w:rFonts w:hint="eastAsia" w:ascii="宋体" w:hAnsi="宋体" w:cs="宋体"/>
          <w:b/>
          <w:kern w:val="0"/>
          <w:sz w:val="28"/>
          <w:szCs w:val="28"/>
        </w:rPr>
      </w:pPr>
    </w:p>
    <w:p w14:paraId="0B89CC1A">
      <w:pPr>
        <w:spacing w:line="400" w:lineRule="exact"/>
        <w:ind w:firstLine="562" w:firstLineChars="200"/>
        <w:rPr>
          <w:rFonts w:hint="eastAsia" w:ascii="宋体" w:hAnsi="宋体" w:cs="宋体"/>
          <w:b/>
          <w:kern w:val="0"/>
          <w:sz w:val="28"/>
          <w:szCs w:val="28"/>
        </w:rPr>
      </w:pPr>
    </w:p>
    <w:p w14:paraId="4067C3D5">
      <w:pPr>
        <w:spacing w:line="400" w:lineRule="exact"/>
        <w:ind w:firstLine="562" w:firstLineChars="200"/>
        <w:rPr>
          <w:rFonts w:hint="eastAsia" w:ascii="宋体" w:hAnsi="宋体" w:cs="宋体"/>
          <w:b/>
          <w:kern w:val="0"/>
          <w:sz w:val="28"/>
          <w:szCs w:val="28"/>
        </w:rPr>
      </w:pPr>
    </w:p>
    <w:p w14:paraId="67D099AB">
      <w:pPr>
        <w:spacing w:line="400" w:lineRule="exact"/>
        <w:rPr>
          <w:rFonts w:hint="eastAsia" w:ascii="宋体" w:hAnsi="宋体" w:cs="宋体"/>
          <w:b/>
          <w:kern w:val="0"/>
          <w:sz w:val="28"/>
          <w:szCs w:val="28"/>
        </w:rPr>
      </w:pPr>
    </w:p>
    <w:p w14:paraId="48A4266A">
      <w:pPr>
        <w:tabs>
          <w:tab w:val="left" w:pos="1620"/>
        </w:tabs>
        <w:spacing w:line="240" w:lineRule="exact"/>
        <w:rPr>
          <w:szCs w:val="21"/>
        </w:rPr>
      </w:pPr>
      <w:r>
        <w:rPr>
          <w:rFonts w:hint="eastAsia"/>
          <w:szCs w:val="21"/>
        </w:rPr>
        <w:t>*******************</w:t>
      </w:r>
    </w:p>
    <w:p w14:paraId="5C627C8F">
      <w:pPr>
        <w:spacing w:line="240" w:lineRule="exact"/>
        <w:rPr>
          <w:szCs w:val="21"/>
        </w:rPr>
      </w:pPr>
      <w:r>
        <w:rPr>
          <w:rFonts w:hint="eastAsia"/>
          <w:szCs w:val="21"/>
        </w:rPr>
        <w:t>*</w:t>
      </w:r>
      <w:r>
        <w:rPr>
          <w:rFonts w:ascii="Tahoma" w:hAnsi="Tahoma" w:eastAsia="MS PGothic" w:cs="Tahoma"/>
          <w:szCs w:val="21"/>
        </w:rPr>
        <w:t>20</w:t>
      </w:r>
      <w:r>
        <w:rPr>
          <w:rFonts w:hint="eastAsia" w:ascii="Tahoma" w:hAnsi="Tahoma" w:cs="Tahoma"/>
          <w:szCs w:val="21"/>
        </w:rPr>
        <w:t>25</w:t>
      </w:r>
      <w:r>
        <w:rPr>
          <w:rFonts w:ascii="Tahoma" w:hAnsi="Tahoma" w:eastAsia="MS PGothic" w:cs="Tahoma"/>
          <w:szCs w:val="21"/>
        </w:rPr>
        <w:t>年</w:t>
      </w:r>
      <w:r>
        <w:rPr>
          <w:rFonts w:hint="eastAsia" w:ascii="Tahoma" w:hAnsi="Tahoma" w:cs="Tahoma"/>
          <w:szCs w:val="21"/>
        </w:rPr>
        <w:t>年</w:t>
      </w:r>
      <w:r>
        <w:rPr>
          <w:rFonts w:ascii="Tahoma" w:hAnsi="Tahoma" w:eastAsia="MS PGothic" w:cs="Tahoma"/>
          <w:szCs w:val="21"/>
        </w:rPr>
        <w:t>度股</w:t>
      </w:r>
      <w:r>
        <w:rPr>
          <w:rFonts w:hint="eastAsia" w:ascii="宋体" w:hAnsi="宋体" w:cs="宋体"/>
          <w:szCs w:val="21"/>
        </w:rPr>
        <w:t>东</w:t>
      </w:r>
      <w:r>
        <w:rPr>
          <w:rFonts w:hint="eastAsia" w:ascii="MS PGothic" w:hAnsi="MS PGothic" w:eastAsia="MS PGothic" w:cs="MS PGothic"/>
          <w:szCs w:val="21"/>
        </w:rPr>
        <w:t>会</w:t>
      </w:r>
      <w:r>
        <w:rPr>
          <w:rFonts w:hint="eastAsia"/>
          <w:szCs w:val="21"/>
        </w:rPr>
        <w:t>*</w:t>
      </w:r>
    </w:p>
    <w:p w14:paraId="495161CD">
      <w:pPr>
        <w:tabs>
          <w:tab w:val="left" w:pos="1260"/>
          <w:tab w:val="left" w:pos="1800"/>
        </w:tabs>
        <w:spacing w:line="240" w:lineRule="exact"/>
        <w:rPr>
          <w:szCs w:val="21"/>
        </w:rPr>
      </w:pPr>
      <w:r>
        <w:rPr>
          <w:rFonts w:hint="eastAsia"/>
          <w:szCs w:val="21"/>
        </w:rPr>
        <w:t>*</w:t>
      </w:r>
      <w:r>
        <w:rPr>
          <w:rFonts w:hint="eastAsia" w:ascii="黑体" w:eastAsia="黑体"/>
          <w:szCs w:val="21"/>
        </w:rPr>
        <w:t>文   件   之   九</w:t>
      </w:r>
      <w:r>
        <w:rPr>
          <w:rFonts w:hint="eastAsia"/>
          <w:szCs w:val="21"/>
        </w:rPr>
        <w:t>*</w:t>
      </w:r>
    </w:p>
    <w:p w14:paraId="5221C5DF">
      <w:pPr>
        <w:spacing w:line="240" w:lineRule="exact"/>
        <w:rPr>
          <w:szCs w:val="21"/>
        </w:rPr>
      </w:pPr>
      <w:r>
        <w:rPr>
          <w:rFonts w:hint="eastAsia"/>
          <w:szCs w:val="21"/>
        </w:rPr>
        <w:t>*******************</w:t>
      </w:r>
    </w:p>
    <w:p w14:paraId="74B0D207">
      <w:pPr>
        <w:jc w:val="center"/>
        <w:rPr>
          <w:rFonts w:hint="eastAsia" w:ascii="宋体" w:hAnsi="宋体"/>
          <w:b/>
          <w:sz w:val="32"/>
          <w:szCs w:val="32"/>
        </w:rPr>
      </w:pPr>
      <w:r>
        <w:rPr>
          <w:rFonts w:hint="eastAsia" w:ascii="宋体" w:hAnsi="宋体"/>
          <w:b/>
          <w:sz w:val="32"/>
          <w:szCs w:val="32"/>
        </w:rPr>
        <w:t>山东好当家海洋发展股份有限公司</w:t>
      </w:r>
    </w:p>
    <w:p w14:paraId="3E764477">
      <w:pPr>
        <w:jc w:val="center"/>
        <w:rPr>
          <w:b/>
          <w:bCs/>
          <w:sz w:val="32"/>
          <w:szCs w:val="32"/>
        </w:rPr>
      </w:pPr>
      <w:r>
        <w:rPr>
          <w:rFonts w:hint="eastAsia"/>
          <w:b/>
          <w:bCs/>
          <w:sz w:val="32"/>
          <w:szCs w:val="32"/>
        </w:rPr>
        <w:t>关于董事会换届选举的议案</w:t>
      </w:r>
    </w:p>
    <w:p w14:paraId="5A2D4EB0">
      <w:pPr>
        <w:spacing w:line="360" w:lineRule="auto"/>
        <w:rPr>
          <w:rFonts w:hint="eastAsia" w:ascii="宋体" w:hAnsi="宋体" w:cs="宋体"/>
          <w:sz w:val="24"/>
        </w:rPr>
      </w:pPr>
      <w:r>
        <w:rPr>
          <w:rFonts w:hint="eastAsia" w:ascii="宋体" w:hAnsi="宋体" w:cs="宋体"/>
          <w:sz w:val="24"/>
        </w:rPr>
        <w:t>各位股东、股东代表：</w:t>
      </w:r>
    </w:p>
    <w:p w14:paraId="17309E64">
      <w:pPr>
        <w:spacing w:line="360" w:lineRule="auto"/>
        <w:ind w:firstLine="480" w:firstLineChars="200"/>
        <w:rPr>
          <w:sz w:val="24"/>
        </w:rPr>
      </w:pPr>
      <w:r>
        <w:rPr>
          <w:rFonts w:hint="eastAsia"/>
          <w:sz w:val="24"/>
        </w:rPr>
        <w:t>公司第十一届董事已任期届满。本届董事会提名唐传勤、</w:t>
      </w:r>
      <w:bookmarkStart w:id="7" w:name="_GoBack"/>
      <w:r>
        <w:rPr>
          <w:rFonts w:hint="eastAsia"/>
          <w:sz w:val="24"/>
        </w:rPr>
        <w:t>唐骥</w:t>
      </w:r>
      <w:bookmarkEnd w:id="7"/>
      <w:r>
        <w:rPr>
          <w:rFonts w:hint="eastAsia"/>
          <w:sz w:val="24"/>
        </w:rPr>
        <w:t>、宋荣超、毕见超、陈鹏宇、孙晓东、刘淇、王清印为公司第十二届董事会董事候选人，其中孙晓东、刘淇、王清印为独立董事候选人。</w:t>
      </w:r>
    </w:p>
    <w:p w14:paraId="3F391DBF">
      <w:pPr>
        <w:spacing w:line="360" w:lineRule="auto"/>
        <w:ind w:firstLine="480" w:firstLineChars="200"/>
        <w:rPr>
          <w:rFonts w:hint="eastAsia" w:ascii="宋体" w:hAnsi="宋体"/>
          <w:sz w:val="24"/>
        </w:rPr>
      </w:pPr>
      <w:r>
        <w:rPr>
          <w:rFonts w:hint="eastAsia" w:ascii="宋体" w:hAnsi="宋体"/>
          <w:sz w:val="24"/>
        </w:rPr>
        <w:t>上述议案已经公司第十一届董事会第十六次会议审议通过，现提请各位与会股东审议表决。</w:t>
      </w:r>
    </w:p>
    <w:p w14:paraId="0D3703CD">
      <w:pPr>
        <w:spacing w:line="360" w:lineRule="auto"/>
        <w:jc w:val="center"/>
        <w:rPr>
          <w:rFonts w:hint="eastAsia" w:ascii="宋体" w:hAnsi="宋体"/>
          <w:b/>
          <w:sz w:val="30"/>
          <w:szCs w:val="30"/>
        </w:rPr>
      </w:pPr>
      <w:r>
        <w:rPr>
          <w:rFonts w:hint="eastAsia" w:ascii="宋体" w:hAnsi="宋体"/>
          <w:b/>
          <w:sz w:val="30"/>
          <w:szCs w:val="30"/>
        </w:rPr>
        <w:t>山东好当家海洋发展股份有限公司</w:t>
      </w:r>
    </w:p>
    <w:p w14:paraId="12999A08">
      <w:pPr>
        <w:spacing w:line="360" w:lineRule="auto"/>
        <w:jc w:val="center"/>
        <w:rPr>
          <w:rFonts w:hint="eastAsia" w:ascii="宋体" w:hAnsi="宋体"/>
          <w:b/>
          <w:sz w:val="30"/>
          <w:szCs w:val="30"/>
        </w:rPr>
      </w:pPr>
      <w:r>
        <w:rPr>
          <w:rFonts w:hint="eastAsia" w:ascii="宋体" w:hAnsi="宋体"/>
          <w:b/>
          <w:sz w:val="30"/>
          <w:szCs w:val="30"/>
        </w:rPr>
        <w:t>第十二届董事会董事候选人简历</w:t>
      </w:r>
    </w:p>
    <w:p w14:paraId="29B6CE1E">
      <w:pPr>
        <w:spacing w:line="360" w:lineRule="auto"/>
        <w:ind w:firstLine="480" w:firstLineChars="200"/>
        <w:jc w:val="left"/>
        <w:rPr>
          <w:rFonts w:hint="eastAsia" w:ascii="宋体" w:hAnsi="宋体"/>
          <w:sz w:val="24"/>
        </w:rPr>
      </w:pPr>
      <w:r>
        <w:rPr>
          <w:rFonts w:hint="eastAsia" w:ascii="宋体" w:hAnsi="宋体"/>
          <w:sz w:val="24"/>
        </w:rPr>
        <w:t>唐传勤，男，1954年5月出生，</w:t>
      </w:r>
      <w:r>
        <w:rPr>
          <w:rFonts w:ascii="宋体" w:hAnsi="宋体"/>
          <w:sz w:val="24"/>
        </w:rPr>
        <w:t>中国国籍，无境外永久居留权</w:t>
      </w:r>
      <w:r>
        <w:rPr>
          <w:rFonts w:hint="eastAsia" w:ascii="宋体" w:hAnsi="宋体"/>
          <w:sz w:val="24"/>
        </w:rPr>
        <w:t>。高级经济师，</w:t>
      </w:r>
      <w:r>
        <w:rPr>
          <w:rFonts w:hint="eastAsia" w:ascii="宋体" w:hAnsi="宋体"/>
          <w:bCs/>
          <w:sz w:val="24"/>
        </w:rPr>
        <w:t>曾任好当家集团有限公司副总经理，1998年2月起</w:t>
      </w:r>
      <w:r>
        <w:rPr>
          <w:rFonts w:hint="eastAsia" w:ascii="宋体" w:hAnsi="宋体"/>
          <w:sz w:val="24"/>
        </w:rPr>
        <w:t>任好当家集团有限公司董事长，2010年5月起任本公司董事长。</w:t>
      </w:r>
    </w:p>
    <w:p w14:paraId="650E2AFD">
      <w:pPr>
        <w:spacing w:line="360" w:lineRule="auto"/>
        <w:ind w:firstLine="480" w:firstLineChars="200"/>
        <w:rPr>
          <w:rFonts w:hint="eastAsia" w:ascii="宋体" w:hAnsi="宋体"/>
          <w:sz w:val="24"/>
        </w:rPr>
      </w:pPr>
      <w:r>
        <w:rPr>
          <w:rFonts w:hint="eastAsia"/>
          <w:sz w:val="24"/>
        </w:rPr>
        <w:t>唐骥</w:t>
      </w:r>
      <w:r>
        <w:rPr>
          <w:rFonts w:hint="eastAsia" w:ascii="宋体" w:hAnsi="宋体"/>
          <w:sz w:val="24"/>
        </w:rPr>
        <w:t>，男，1998年9月出生，</w:t>
      </w:r>
      <w:r>
        <w:rPr>
          <w:rFonts w:ascii="宋体" w:hAnsi="宋体"/>
          <w:sz w:val="24"/>
        </w:rPr>
        <w:t>中国国籍，无境外永久居留权</w:t>
      </w:r>
      <w:r>
        <w:rPr>
          <w:rFonts w:hint="eastAsia" w:ascii="宋体" w:hAnsi="宋体"/>
          <w:sz w:val="24"/>
        </w:rPr>
        <w:t>。</w:t>
      </w:r>
      <w:r>
        <w:rPr>
          <w:rFonts w:ascii="宋体" w:hAnsi="宋体"/>
          <w:bCs/>
          <w:sz w:val="24"/>
        </w:rPr>
        <w:t>硕士</w:t>
      </w:r>
      <w:r>
        <w:rPr>
          <w:rFonts w:hint="eastAsia" w:ascii="宋体" w:hAnsi="宋体"/>
          <w:bCs/>
          <w:sz w:val="24"/>
        </w:rPr>
        <w:t>。</w:t>
      </w:r>
      <w:r>
        <w:rPr>
          <w:rFonts w:hint="eastAsia" w:ascii="宋体" w:hAnsi="宋体"/>
          <w:sz w:val="24"/>
        </w:rPr>
        <w:t>现任本公司总裁助理。</w:t>
      </w:r>
    </w:p>
    <w:p w14:paraId="6B9420CC">
      <w:pPr>
        <w:spacing w:line="360" w:lineRule="auto"/>
        <w:ind w:firstLine="480" w:firstLineChars="200"/>
        <w:rPr>
          <w:rFonts w:hint="eastAsia" w:ascii="宋体" w:hAnsi="宋体"/>
          <w:sz w:val="24"/>
        </w:rPr>
      </w:pPr>
      <w:r>
        <w:rPr>
          <w:rFonts w:hint="eastAsia" w:ascii="宋体" w:hAnsi="宋体"/>
          <w:sz w:val="24"/>
        </w:rPr>
        <w:t>宋荣超，男，</w:t>
      </w:r>
      <w:r>
        <w:rPr>
          <w:rFonts w:ascii="宋体" w:hAnsi="宋体"/>
          <w:sz w:val="24"/>
        </w:rPr>
        <w:t>19</w:t>
      </w:r>
      <w:r>
        <w:rPr>
          <w:rFonts w:hint="eastAsia" w:ascii="宋体" w:hAnsi="宋体"/>
          <w:sz w:val="24"/>
        </w:rPr>
        <w:t>72年12月出生，</w:t>
      </w:r>
      <w:r>
        <w:rPr>
          <w:rFonts w:ascii="宋体" w:hAnsi="宋体"/>
          <w:sz w:val="24"/>
        </w:rPr>
        <w:t>中国国籍，无境外永久居留权</w:t>
      </w:r>
      <w:r>
        <w:rPr>
          <w:rFonts w:hint="eastAsia" w:ascii="宋体" w:hAnsi="宋体"/>
          <w:sz w:val="24"/>
        </w:rPr>
        <w:t>。自2001年起任本公司财务部部长，现任公司董事、副总经理、财务总监。</w:t>
      </w:r>
    </w:p>
    <w:p w14:paraId="2CBB19BD">
      <w:pPr>
        <w:spacing w:line="360" w:lineRule="auto"/>
        <w:ind w:firstLine="480" w:firstLineChars="200"/>
        <w:rPr>
          <w:rFonts w:hint="eastAsia" w:ascii="宋体" w:hAnsi="宋体"/>
          <w:sz w:val="24"/>
        </w:rPr>
      </w:pPr>
      <w:r>
        <w:rPr>
          <w:rFonts w:hint="eastAsia" w:ascii="宋体" w:hAnsi="宋体"/>
          <w:sz w:val="24"/>
        </w:rPr>
        <w:t>毕见超，男，1978年7月出生，</w:t>
      </w:r>
      <w:r>
        <w:rPr>
          <w:rFonts w:ascii="宋体" w:hAnsi="宋体"/>
          <w:sz w:val="24"/>
        </w:rPr>
        <w:t>中国国籍，无境外永久居留权</w:t>
      </w:r>
      <w:r>
        <w:rPr>
          <w:rFonts w:hint="eastAsia" w:ascii="宋体" w:hAnsi="宋体"/>
          <w:sz w:val="24"/>
        </w:rPr>
        <w:t>。曾任本公司审计部部长、财务部部长，2016年1月起任好当家集团有限公司财务总监。</w:t>
      </w:r>
    </w:p>
    <w:p w14:paraId="20D7233B">
      <w:pPr>
        <w:pStyle w:val="29"/>
        <w:spacing w:line="360" w:lineRule="auto"/>
        <w:ind w:firstLine="480"/>
        <w:rPr>
          <w:rFonts w:hint="eastAsia" w:ascii="宋体" w:hAnsi="宋体"/>
          <w:sz w:val="24"/>
        </w:rPr>
      </w:pPr>
      <w:r>
        <w:rPr>
          <w:rFonts w:hint="eastAsia" w:ascii="宋体" w:hAnsi="宋体"/>
          <w:sz w:val="24"/>
        </w:rPr>
        <w:t>陈鹏宇，男，1990年1月出生，</w:t>
      </w:r>
      <w:r>
        <w:rPr>
          <w:rFonts w:ascii="宋体" w:hAnsi="宋体"/>
          <w:sz w:val="24"/>
        </w:rPr>
        <w:t>中国国籍，无境外永久居留权</w:t>
      </w:r>
      <w:r>
        <w:rPr>
          <w:rFonts w:hint="eastAsia" w:ascii="宋体" w:hAnsi="宋体"/>
          <w:sz w:val="24"/>
        </w:rPr>
        <w:t>。自2020年起任本公司海参养殖场副场长、场长，现任本公司董事、副总经理。</w:t>
      </w:r>
    </w:p>
    <w:p w14:paraId="786F516B">
      <w:pPr>
        <w:ind w:firstLine="602" w:firstLineChars="200"/>
        <w:jc w:val="center"/>
        <w:rPr>
          <w:rFonts w:hint="eastAsia" w:ascii="宋体" w:hAnsi="宋体" w:cs="宋体"/>
          <w:b/>
          <w:bCs/>
          <w:sz w:val="30"/>
          <w:szCs w:val="30"/>
        </w:rPr>
      </w:pPr>
      <w:r>
        <w:rPr>
          <w:rFonts w:hint="eastAsia" w:ascii="宋体" w:hAnsi="宋体" w:cs="宋体"/>
          <w:b/>
          <w:bCs/>
          <w:sz w:val="30"/>
          <w:szCs w:val="30"/>
        </w:rPr>
        <w:br w:type="page"/>
      </w:r>
    </w:p>
    <w:p w14:paraId="61935E8B">
      <w:pPr>
        <w:pStyle w:val="29"/>
        <w:spacing w:line="360" w:lineRule="auto"/>
        <w:ind w:firstLine="602"/>
        <w:jc w:val="center"/>
        <w:rPr>
          <w:rFonts w:hint="eastAsia" w:ascii="宋体" w:hAnsi="宋体" w:cs="宋体"/>
          <w:b/>
          <w:bCs/>
          <w:sz w:val="30"/>
          <w:szCs w:val="30"/>
        </w:rPr>
      </w:pPr>
      <w:r>
        <w:rPr>
          <w:rFonts w:hint="eastAsia" w:ascii="宋体" w:hAnsi="宋体" w:cs="宋体"/>
          <w:b/>
          <w:bCs/>
          <w:sz w:val="30"/>
          <w:szCs w:val="30"/>
        </w:rPr>
        <w:t>山东好当家海洋发展股份有限公司</w:t>
      </w:r>
    </w:p>
    <w:p w14:paraId="6D9EF141">
      <w:pPr>
        <w:pStyle w:val="29"/>
        <w:spacing w:line="360" w:lineRule="auto"/>
        <w:ind w:firstLine="602"/>
        <w:jc w:val="center"/>
        <w:rPr>
          <w:rFonts w:hint="eastAsia" w:ascii="宋体" w:hAnsi="宋体" w:cs="宋体"/>
          <w:b/>
          <w:bCs/>
          <w:sz w:val="30"/>
          <w:szCs w:val="30"/>
        </w:rPr>
      </w:pPr>
      <w:r>
        <w:rPr>
          <w:rFonts w:hint="eastAsia" w:ascii="宋体" w:hAnsi="宋体" w:cs="宋体"/>
          <w:b/>
          <w:bCs/>
          <w:sz w:val="30"/>
          <w:szCs w:val="30"/>
        </w:rPr>
        <w:t>第十二届董事会独立董事候选人简历</w:t>
      </w:r>
    </w:p>
    <w:p w14:paraId="059A4700">
      <w:pPr>
        <w:spacing w:line="360" w:lineRule="auto"/>
        <w:ind w:firstLine="480" w:firstLineChars="200"/>
        <w:jc w:val="left"/>
        <w:rPr>
          <w:rFonts w:hint="eastAsia" w:ascii="宋体" w:hAnsi="宋体"/>
          <w:bCs/>
          <w:sz w:val="24"/>
        </w:rPr>
      </w:pPr>
      <w:r>
        <w:rPr>
          <w:rFonts w:hint="eastAsia" w:ascii="宋体" w:hAnsi="宋体"/>
          <w:bCs/>
          <w:sz w:val="24"/>
        </w:rPr>
        <w:t>孙晓东，男，1970年8月出生。中国国籍，无境外永久居留权。大学本科学历，毕业院校及专业：中央财经大学农业财政与信用专门化，专业技术职称：高级会计师，执业资格：注册会计师、资产评估师、房地产估价师。工作经历：曾任中天运会计师事务所（特殊普通合伙）威海分所副所长、所长。现任。山东志诚会计师事务所有限公司所长。</w:t>
      </w:r>
    </w:p>
    <w:p w14:paraId="0AA26C32">
      <w:pPr>
        <w:spacing w:line="360" w:lineRule="auto"/>
        <w:jc w:val="left"/>
        <w:rPr>
          <w:rFonts w:hint="eastAsia" w:ascii="宋体" w:hAnsi="宋体"/>
          <w:bCs/>
          <w:sz w:val="24"/>
        </w:rPr>
      </w:pPr>
    </w:p>
    <w:p w14:paraId="141D7F8D">
      <w:pPr>
        <w:spacing w:line="360" w:lineRule="auto"/>
        <w:ind w:firstLine="480" w:firstLineChars="200"/>
        <w:jc w:val="left"/>
        <w:rPr>
          <w:rFonts w:hint="eastAsia" w:ascii="宋体" w:hAnsi="宋体"/>
          <w:bCs/>
          <w:sz w:val="24"/>
        </w:rPr>
      </w:pPr>
      <w:r>
        <w:rPr>
          <w:rFonts w:hint="eastAsia" w:ascii="宋体" w:hAnsi="宋体"/>
          <w:bCs/>
          <w:sz w:val="24"/>
        </w:rPr>
        <w:t>刘 淇，男，1965年11月出生。中国国籍，无境外永久居留权。大学本科学历，水产品加工与贮藏工程专业，长期从事水产品加工与质量安全领域的基础科学研究、技术研发与推广、水产行业标准制修订等工作，在海珍品、海洋蛋白肽以及海产品保鲜保活技术方面取得了多项国内领先的技术成果。现任中国水产科学研究院黄海水产研究所研究员，硕士研究生导师，兼任国家海参加工技术研发分中心（青岛）主任、中国渔业协会海参分会专家组成员、中国水产流通与加工协会海参分会专家委员会委员、山东省农业标准化技术委员会渔业标准化分技术委员会委员等。</w:t>
      </w:r>
    </w:p>
    <w:p w14:paraId="4AB2FF57">
      <w:pPr>
        <w:spacing w:line="360" w:lineRule="auto"/>
        <w:jc w:val="left"/>
        <w:rPr>
          <w:rFonts w:hint="eastAsia" w:ascii="宋体" w:hAnsi="宋体"/>
          <w:bCs/>
          <w:sz w:val="24"/>
        </w:rPr>
      </w:pPr>
    </w:p>
    <w:p w14:paraId="4FFA9282">
      <w:pPr>
        <w:spacing w:line="360" w:lineRule="auto"/>
        <w:ind w:firstLine="480" w:firstLineChars="200"/>
        <w:jc w:val="left"/>
        <w:rPr>
          <w:rFonts w:hint="eastAsia" w:ascii="宋体" w:hAnsi="宋体"/>
          <w:bCs/>
          <w:sz w:val="24"/>
        </w:rPr>
      </w:pPr>
      <w:r>
        <w:rPr>
          <w:rFonts w:hint="eastAsia" w:ascii="宋体" w:hAnsi="宋体"/>
          <w:bCs/>
          <w:sz w:val="24"/>
        </w:rPr>
        <w:t>王清印，男，1952年8月出生。中国国籍，无境外永久居留权。博士研究生，曾任中国水产科学研究院黄海水产研究所所长、二级研究员、中国水产学会第十届理事会理事长。一直从事海水养殖生物的遗传育种、海水健康养殖以及海洋生物技术等研究工作，致力于我国水产育种和海水健康养殖新理论、新技术的研发和推广应用。在中国对虾育种和产业化研究方面取得突出成绩，建立了中国对虾新品种培育的理论与技术体系，培育出中国对虾“黄海”系列新品种并实现产业化。</w:t>
      </w:r>
    </w:p>
    <w:p w14:paraId="5AD36043">
      <w:pPr>
        <w:spacing w:line="240" w:lineRule="exact"/>
        <w:rPr>
          <w:sz w:val="24"/>
        </w:rPr>
      </w:pPr>
    </w:p>
    <w:p w14:paraId="7A20DEC6">
      <w:pPr>
        <w:spacing w:line="360" w:lineRule="auto"/>
        <w:ind w:firstLine="555"/>
        <w:jc w:val="right"/>
        <w:rPr>
          <w:sz w:val="24"/>
        </w:rPr>
      </w:pPr>
      <w:r>
        <w:rPr>
          <w:rFonts w:hint="eastAsia"/>
          <w:sz w:val="24"/>
        </w:rPr>
        <w:t xml:space="preserve"> 山东好当家海洋发展股份有限公司</w:t>
      </w:r>
    </w:p>
    <w:p w14:paraId="5A0F5C79">
      <w:pPr>
        <w:spacing w:line="360" w:lineRule="auto"/>
        <w:ind w:firstLine="555"/>
        <w:jc w:val="right"/>
        <w:rPr>
          <w:sz w:val="24"/>
        </w:rPr>
      </w:pPr>
      <w:r>
        <w:rPr>
          <w:rFonts w:hint="eastAsia"/>
          <w:sz w:val="24"/>
        </w:rPr>
        <w:t>董事会</w:t>
      </w:r>
    </w:p>
    <w:p w14:paraId="1A5B6241">
      <w:pPr>
        <w:spacing w:line="360" w:lineRule="auto"/>
        <w:ind w:firstLine="555"/>
        <w:jc w:val="right"/>
        <w:rPr>
          <w:rFonts w:hint="eastAsia" w:ascii="宋体" w:hAnsi="宋体"/>
          <w:sz w:val="24"/>
        </w:rPr>
      </w:pPr>
      <w:r>
        <w:rPr>
          <w:rFonts w:hint="eastAsia" w:ascii="宋体" w:hAnsi="宋体"/>
          <w:sz w:val="24"/>
        </w:rPr>
        <w:t xml:space="preserve">                           　 2026年5月18日</w:t>
      </w:r>
    </w:p>
    <w:p w14:paraId="3ED5185A">
      <w:pPr>
        <w:spacing w:line="400" w:lineRule="exact"/>
        <w:ind w:firstLine="562" w:firstLineChars="200"/>
        <w:rPr>
          <w:rFonts w:hint="eastAsia" w:ascii="宋体" w:hAnsi="宋体" w:cs="宋体"/>
          <w:b/>
          <w:kern w:val="0"/>
          <w:sz w:val="28"/>
          <w:szCs w:val="28"/>
        </w:rPr>
      </w:pPr>
    </w:p>
    <w:p w14:paraId="10140C24">
      <w:pPr>
        <w:spacing w:line="240" w:lineRule="exact"/>
        <w:rPr>
          <w:szCs w:val="21"/>
        </w:rPr>
      </w:pPr>
    </w:p>
    <w:p w14:paraId="00B8DEF1">
      <w:pPr>
        <w:rPr>
          <w:szCs w:val="21"/>
        </w:rPr>
      </w:pPr>
      <w:r>
        <w:rPr>
          <w:rFonts w:hint="eastAsia"/>
          <w:szCs w:val="21"/>
        </w:rPr>
        <w:br w:type="page"/>
      </w:r>
      <w:r>
        <w:rPr>
          <w:rFonts w:hint="eastAsia"/>
          <w:szCs w:val="21"/>
        </w:rPr>
        <w:t>*******************</w:t>
      </w:r>
    </w:p>
    <w:p w14:paraId="4F4D85DD">
      <w:pPr>
        <w:spacing w:line="240" w:lineRule="exact"/>
        <w:rPr>
          <w:szCs w:val="21"/>
        </w:rPr>
      </w:pPr>
      <w:r>
        <w:rPr>
          <w:rFonts w:hint="eastAsia"/>
          <w:szCs w:val="21"/>
        </w:rPr>
        <w:t>*</w:t>
      </w:r>
      <w:r>
        <w:rPr>
          <w:rFonts w:ascii="Tahoma" w:hAnsi="Tahoma" w:eastAsia="MS PGothic" w:cs="Tahoma"/>
          <w:szCs w:val="21"/>
        </w:rPr>
        <w:t>20</w:t>
      </w:r>
      <w:r>
        <w:rPr>
          <w:rFonts w:hint="eastAsia" w:ascii="Tahoma" w:hAnsi="Tahoma" w:cs="Tahoma"/>
          <w:szCs w:val="21"/>
        </w:rPr>
        <w:t>25年</w:t>
      </w:r>
      <w:r>
        <w:rPr>
          <w:rFonts w:ascii="Tahoma" w:hAnsi="Tahoma" w:eastAsia="MS PGothic" w:cs="Tahoma"/>
          <w:szCs w:val="21"/>
        </w:rPr>
        <w:t>年度股</w:t>
      </w:r>
      <w:r>
        <w:rPr>
          <w:rFonts w:hint="eastAsia" w:ascii="宋体" w:hAnsi="宋体" w:cs="宋体"/>
          <w:szCs w:val="21"/>
        </w:rPr>
        <w:t>东</w:t>
      </w:r>
      <w:r>
        <w:rPr>
          <w:rFonts w:hint="eastAsia" w:ascii="MS PGothic" w:hAnsi="MS PGothic" w:eastAsia="MS PGothic" w:cs="MS PGothic"/>
          <w:szCs w:val="21"/>
        </w:rPr>
        <w:t>会</w:t>
      </w:r>
      <w:r>
        <w:rPr>
          <w:rFonts w:hint="eastAsia"/>
          <w:szCs w:val="21"/>
        </w:rPr>
        <w:t>*</w:t>
      </w:r>
    </w:p>
    <w:p w14:paraId="6C153F9B">
      <w:pPr>
        <w:tabs>
          <w:tab w:val="left" w:pos="1260"/>
          <w:tab w:val="left" w:pos="1800"/>
        </w:tabs>
        <w:spacing w:line="240" w:lineRule="exact"/>
        <w:rPr>
          <w:szCs w:val="21"/>
        </w:rPr>
      </w:pPr>
      <w:r>
        <w:rPr>
          <w:rFonts w:hint="eastAsia"/>
          <w:szCs w:val="21"/>
        </w:rPr>
        <w:t>*</w:t>
      </w:r>
      <w:r>
        <w:rPr>
          <w:rFonts w:hint="eastAsia" w:ascii="黑体" w:eastAsia="黑体"/>
          <w:szCs w:val="21"/>
        </w:rPr>
        <w:t>文   件   之   十</w:t>
      </w:r>
      <w:r>
        <w:rPr>
          <w:rFonts w:hint="eastAsia"/>
          <w:szCs w:val="21"/>
        </w:rPr>
        <w:t>*</w:t>
      </w:r>
    </w:p>
    <w:p w14:paraId="06361E30">
      <w:pPr>
        <w:spacing w:line="240" w:lineRule="exact"/>
        <w:rPr>
          <w:szCs w:val="21"/>
        </w:rPr>
      </w:pPr>
      <w:r>
        <w:rPr>
          <w:rFonts w:hint="eastAsia"/>
          <w:szCs w:val="21"/>
        </w:rPr>
        <w:t>*******************</w:t>
      </w:r>
    </w:p>
    <w:p w14:paraId="6530DB19">
      <w:pPr>
        <w:adjustRightInd w:val="0"/>
        <w:snapToGrid w:val="0"/>
        <w:spacing w:line="360" w:lineRule="auto"/>
        <w:jc w:val="center"/>
        <w:rPr>
          <w:rFonts w:hint="eastAsia" w:ascii="黑体" w:hAnsi="黑体" w:eastAsia="黑体"/>
          <w:b/>
          <w:sz w:val="30"/>
          <w:szCs w:val="30"/>
        </w:rPr>
      </w:pPr>
      <w:r>
        <w:rPr>
          <w:rFonts w:hint="eastAsia" w:ascii="黑体" w:hAnsi="黑体" w:eastAsia="黑体"/>
          <w:b/>
          <w:sz w:val="30"/>
          <w:szCs w:val="30"/>
        </w:rPr>
        <w:t>山东好当家海洋发展股份有限公司</w:t>
      </w:r>
    </w:p>
    <w:p w14:paraId="1E5228BF">
      <w:pPr>
        <w:spacing w:line="480" w:lineRule="auto"/>
        <w:jc w:val="center"/>
        <w:rPr>
          <w:rFonts w:hint="eastAsia" w:ascii="黑体" w:hAnsi="黑体" w:eastAsia="黑体" w:cs="黑体"/>
          <w:b/>
          <w:bCs/>
          <w:sz w:val="30"/>
          <w:szCs w:val="30"/>
        </w:rPr>
      </w:pPr>
      <w:r>
        <w:rPr>
          <w:rFonts w:hint="eastAsia" w:ascii="黑体" w:hAnsi="黑体" w:eastAsia="黑体" w:cs="黑体"/>
          <w:b/>
          <w:bCs/>
          <w:sz w:val="30"/>
          <w:szCs w:val="30"/>
        </w:rPr>
        <w:t>关于公司董事、高级管理人员薪酬管理制度的议案</w:t>
      </w:r>
    </w:p>
    <w:p w14:paraId="50F1F8FC">
      <w:pPr>
        <w:spacing w:line="480" w:lineRule="auto"/>
        <w:rPr>
          <w:b/>
          <w:sz w:val="28"/>
          <w:szCs w:val="28"/>
        </w:rPr>
      </w:pPr>
      <w:r>
        <w:rPr>
          <w:rFonts w:hint="eastAsia"/>
          <w:b/>
          <w:sz w:val="28"/>
          <w:szCs w:val="28"/>
        </w:rPr>
        <w:t>各位股东、股东代表：</w:t>
      </w:r>
    </w:p>
    <w:p w14:paraId="6DE9ADF7">
      <w:pPr>
        <w:spacing w:line="360" w:lineRule="auto"/>
        <w:ind w:firstLine="480" w:firstLineChars="200"/>
        <w:rPr>
          <w:rFonts w:hint="eastAsia" w:ascii="宋体" w:hAnsi="宋体" w:cs="宋体"/>
          <w:sz w:val="24"/>
        </w:rPr>
      </w:pPr>
      <w:r>
        <w:rPr>
          <w:rFonts w:ascii="宋体" w:hAnsi="宋体" w:cs="宋体"/>
          <w:sz w:val="24"/>
        </w:rPr>
        <w:t>为规范公司董事及高级管理人员薪酬管理，建立激励与约束相结合的机</w:t>
      </w:r>
    </w:p>
    <w:p w14:paraId="38C3D571">
      <w:pPr>
        <w:spacing w:line="360" w:lineRule="auto"/>
        <w:rPr>
          <w:rFonts w:hint="eastAsia" w:ascii="宋体" w:hAnsi="宋体" w:cs="宋体"/>
          <w:sz w:val="24"/>
        </w:rPr>
      </w:pPr>
      <w:r>
        <w:rPr>
          <w:rFonts w:ascii="宋体" w:hAnsi="宋体" w:cs="宋体"/>
          <w:sz w:val="24"/>
        </w:rPr>
        <w:t>制， 根据《公司法》《上市公司治理准则》等法律法规和规范性文件的规定，结合公司实际情况，公司修订了《董事、高级管理人员薪酬管理制度》</w:t>
      </w:r>
      <w:r>
        <w:rPr>
          <w:rFonts w:hint="eastAsia" w:ascii="宋体" w:hAnsi="宋体" w:cs="宋体"/>
          <w:sz w:val="24"/>
        </w:rPr>
        <w:t>。</w:t>
      </w:r>
    </w:p>
    <w:p w14:paraId="4BE01B81">
      <w:pPr>
        <w:pStyle w:val="32"/>
        <w:spacing w:line="360" w:lineRule="auto"/>
        <w:jc w:val="center"/>
        <w:rPr>
          <w:rFonts w:hint="eastAsia" w:ascii="宋体" w:hAnsi="宋体" w:eastAsia="宋体"/>
          <w:b/>
          <w:bCs/>
          <w:kern w:val="0"/>
          <w:sz w:val="24"/>
          <w:szCs w:val="24"/>
        </w:rPr>
      </w:pPr>
      <w:r>
        <w:rPr>
          <w:rFonts w:hint="eastAsia" w:ascii="宋体" w:hAnsi="宋体" w:eastAsia="宋体"/>
          <w:b/>
          <w:bCs/>
          <w:kern w:val="0"/>
          <w:sz w:val="24"/>
          <w:szCs w:val="24"/>
        </w:rPr>
        <w:t>山东好当家海洋发展股份有限公司</w:t>
      </w:r>
    </w:p>
    <w:p w14:paraId="6F8BFA54">
      <w:pPr>
        <w:pStyle w:val="32"/>
        <w:spacing w:line="360" w:lineRule="auto"/>
        <w:jc w:val="center"/>
        <w:rPr>
          <w:rFonts w:hint="eastAsia" w:ascii="宋体" w:hAnsi="宋体" w:eastAsia="宋体"/>
          <w:b/>
          <w:bCs/>
          <w:kern w:val="0"/>
          <w:sz w:val="24"/>
          <w:szCs w:val="24"/>
        </w:rPr>
      </w:pPr>
      <w:r>
        <w:rPr>
          <w:rFonts w:hint="eastAsia" w:ascii="宋体" w:hAnsi="宋体" w:eastAsia="宋体"/>
          <w:b/>
          <w:bCs/>
          <w:kern w:val="0"/>
          <w:sz w:val="24"/>
          <w:szCs w:val="24"/>
        </w:rPr>
        <w:t>董事、高级管理人员薪酬管理制度</w:t>
      </w:r>
    </w:p>
    <w:p w14:paraId="680F59E1">
      <w:pPr>
        <w:pStyle w:val="32"/>
        <w:spacing w:line="360" w:lineRule="auto"/>
        <w:jc w:val="center"/>
        <w:rPr>
          <w:rFonts w:hint="eastAsia" w:ascii="宋体" w:hAnsi="宋体" w:eastAsia="宋体"/>
          <w:kern w:val="0"/>
          <w:sz w:val="24"/>
          <w:szCs w:val="24"/>
        </w:rPr>
      </w:pPr>
    </w:p>
    <w:p w14:paraId="2FF80633">
      <w:pPr>
        <w:pStyle w:val="32"/>
        <w:spacing w:line="360" w:lineRule="auto"/>
        <w:jc w:val="center"/>
        <w:rPr>
          <w:rFonts w:hint="eastAsia" w:ascii="宋体" w:hAnsi="宋体" w:eastAsia="宋体"/>
          <w:kern w:val="0"/>
          <w:sz w:val="24"/>
          <w:szCs w:val="24"/>
        </w:rPr>
      </w:pPr>
      <w:r>
        <w:rPr>
          <w:rFonts w:hint="eastAsia" w:ascii="宋体" w:hAnsi="宋体" w:eastAsia="宋体"/>
          <w:kern w:val="0"/>
          <w:sz w:val="24"/>
          <w:szCs w:val="24"/>
        </w:rPr>
        <w:t>第一章  总则</w:t>
      </w:r>
    </w:p>
    <w:p w14:paraId="591296DC">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第一条 为进一步完善山东好当家海洋发展股份有限公司（以下简称“公司”）董事及高级管理人员的薪酬管理，建立和完善经营者的激励约束机制，保持核心管理团队的稳定性，有效地调动董事及高级管理人员的工作积极性，提高公司经营管理水平，促进公司健康、持续、稳定发展，根据《中华人民共和国公司法》 《上市公司治理准则》《上海证券交易所股票上市规则》《上海证券交易所上市公司自律监管指引第1号——规范运作》等有关法律法规的规定和《山东好当家海洋发展股份有限公司章程》（以下简称“《公司章程》”）等有关规定，结合公司的实际情况，特制定本制度。</w:t>
      </w:r>
    </w:p>
    <w:p w14:paraId="393268F0">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第二条 本制度适用于公司董事及高级管理人员。高级管理人员指公司的总经理、副总经理、财务负责人、董事会秘书及《公司章程》规定的其他人员。</w:t>
      </w:r>
    </w:p>
    <w:p w14:paraId="5DF0920F">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第三条 本制度遵循以下原则：</w:t>
      </w:r>
    </w:p>
    <w:p w14:paraId="71201F3D">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（一）责权利统一原则：薪酬水平与岗位价值、责任义务匹配。</w:t>
      </w:r>
    </w:p>
    <w:p w14:paraId="785B6689">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（二）实行薪酬水平与公司目标、效益相挂钩的原则。</w:t>
      </w:r>
    </w:p>
    <w:p w14:paraId="65798DE1">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（三）按绩效考核标准、流程体系原则。</w:t>
      </w:r>
    </w:p>
    <w:p w14:paraId="0344D12D">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（四）激励与约束并重、奖罚对等的原则。</w:t>
      </w:r>
    </w:p>
    <w:p w14:paraId="02195610">
      <w:pPr>
        <w:pStyle w:val="32"/>
        <w:spacing w:line="360" w:lineRule="auto"/>
        <w:rPr>
          <w:rFonts w:hint="eastAsia" w:ascii="宋体" w:hAnsi="宋体" w:eastAsia="宋体"/>
          <w:kern w:val="0"/>
          <w:sz w:val="24"/>
          <w:szCs w:val="24"/>
        </w:rPr>
      </w:pPr>
    </w:p>
    <w:p w14:paraId="21074576">
      <w:pPr>
        <w:pStyle w:val="32"/>
        <w:spacing w:line="360" w:lineRule="auto"/>
        <w:jc w:val="center"/>
        <w:rPr>
          <w:rFonts w:hint="eastAsia" w:ascii="宋体" w:hAnsi="宋体" w:eastAsia="宋体"/>
          <w:kern w:val="0"/>
          <w:sz w:val="24"/>
          <w:szCs w:val="24"/>
        </w:rPr>
      </w:pPr>
      <w:r>
        <w:rPr>
          <w:rFonts w:hint="eastAsia" w:ascii="宋体" w:hAnsi="宋体" w:eastAsia="宋体"/>
          <w:kern w:val="0"/>
          <w:sz w:val="24"/>
          <w:szCs w:val="24"/>
        </w:rPr>
        <w:t>第二章  薪酬管理机构</w:t>
      </w:r>
    </w:p>
    <w:p w14:paraId="2F007955">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第四条 董事会薪酬与考核委员会（以下简称“薪酬与考核委员会”）负责制定董事、高级管理人员的考核标准并进行考核，制定、审查董事、高级管理人员的薪酬政策与方案。</w:t>
      </w:r>
    </w:p>
    <w:p w14:paraId="403B904A">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第五条 董事薪酬方案由股东会决定，并予以披露。在董事会或者薪酬与考核委员会对董事个人进行评价或者讨论其报酬时，该董事应当回避。高级管理人员薪酬方案由董事会批准，向股东会说明，并予以充分披露。</w:t>
      </w:r>
    </w:p>
    <w:p w14:paraId="481B3BA0">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第六条 公司人事部门、财务部配合董事会薪酬与考核委员会进行公司董事、高级管理人员薪酬方案的具体实施。</w:t>
      </w:r>
    </w:p>
    <w:p w14:paraId="57CB53AC">
      <w:pPr>
        <w:pStyle w:val="32"/>
        <w:spacing w:line="360" w:lineRule="auto"/>
        <w:jc w:val="center"/>
        <w:rPr>
          <w:rFonts w:hint="eastAsia" w:ascii="宋体" w:hAnsi="宋体" w:eastAsia="宋体"/>
          <w:kern w:val="0"/>
          <w:sz w:val="24"/>
          <w:szCs w:val="24"/>
        </w:rPr>
      </w:pPr>
      <w:r>
        <w:rPr>
          <w:rFonts w:hint="eastAsia" w:ascii="宋体" w:hAnsi="宋体" w:eastAsia="宋体"/>
          <w:kern w:val="0"/>
          <w:sz w:val="24"/>
          <w:szCs w:val="24"/>
        </w:rPr>
        <w:t>第三章  薪酬标准与绩效评价</w:t>
      </w:r>
    </w:p>
    <w:p w14:paraId="2E55D290">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第七条 董事及高级管理人员薪酬</w:t>
      </w:r>
    </w:p>
    <w:p w14:paraId="2D7BB96D">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一）公司非独立董事（包括职工代表董事）及高级管理人员薪酬，由公司根据其岗位职责、工作内容，综合公司薪酬政策考核确定，并发放董事津贴。不在公司担任具体职务的非独立董事，公司可以制定相关职务津贴并提交董事会和股东会审议后执行。</w:t>
      </w:r>
    </w:p>
    <w:p w14:paraId="7E855FA3">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二）公司独立董事实行津贴制度，独立董事津贴数额由公司股东会审议决定。独立董事按照《公司法》和《公司章程》相关规定履行职责（如出席公司董事会、审计委员会及股东会等）所需的合理费用由公司承担。</w:t>
      </w:r>
    </w:p>
    <w:p w14:paraId="5DB2F6A2">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第八条 公司非独立董事、高级管理人员的薪酬由基本薪酬、绩效薪酬和中长期激励收入等组成，其中绩效薪酬占比原则上不低于基本薪酬与绩效薪酬总额的百分之五十。公司非独立董事和高级管理人员薪酬应当与市场发展相适应，与公司经营业绩、个人业绩相匹配，与公司可持续发展相协调。</w:t>
      </w:r>
    </w:p>
    <w:p w14:paraId="35AC9FF6">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（一）基本薪酬：根据非独立董事、高级管理人员管理岗位的主要范围、职责、重要性以及其他相关企业相关岗位的薪酬水平为年度的基本报酬。</w:t>
      </w:r>
    </w:p>
    <w:p w14:paraId="3A81648D">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（二）绩效薪酬：根据公司绩效管理体系，与公司年度经营绩效相挂钩，年终根据公司董事会薪酬与考核委员会考核结果发放。</w:t>
      </w:r>
    </w:p>
    <w:p w14:paraId="10FB5A4E">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三）中长期激励收入：是与中长期考核评价结果相联系的收入，包括但不限于股权、期权、员工持股计划以及其他公司根据实际情况发放的中长期专项奖金、激励或奖励等。由公司根据实际情况制定激励方案。公司董事、高级管理人员的绩效薪酬和中长期激励收入的确定和支付应当以绩效评价为重要依据。公司应当确定董事、高级管理人员一定比例的绩效薪酬在绩效评价后支付。</w:t>
      </w:r>
    </w:p>
    <w:p w14:paraId="15C41717">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第九条 公司非独立董事、高级管理人员的绩效薪酬和中长期激励收入的确定和支付应当以绩效评价为重要依据。公司应当确定非独立董事、高级管理人员一定比例的绩效薪酬在绩效评价后支付，绩效评价应当依据经审计的财务数据开展。</w:t>
      </w:r>
    </w:p>
    <w:p w14:paraId="1EB67C0A">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第十条 非独立董事和高级管理人员的绩效评价由薪酬与考核委员会负责组织。独立董事的履职评价采取自我评价、相互评价等方式进行。</w:t>
      </w:r>
    </w:p>
    <w:p w14:paraId="59C14554">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董事会应当向股东会报告董事履行职责的情况、绩效评价结果及其薪酬情况，并由公司予以披露。</w:t>
      </w:r>
    </w:p>
    <w:p w14:paraId="668D7C1C">
      <w:pPr>
        <w:pStyle w:val="32"/>
        <w:spacing w:line="360" w:lineRule="auto"/>
        <w:ind w:firstLine="480" w:firstLineChars="200"/>
        <w:rPr>
          <w:rFonts w:hint="eastAsia" w:ascii="宋体" w:hAnsi="宋体" w:eastAsia="宋体"/>
          <w:kern w:val="0"/>
          <w:sz w:val="24"/>
          <w:szCs w:val="24"/>
        </w:rPr>
      </w:pPr>
    </w:p>
    <w:p w14:paraId="5CDF1AC8">
      <w:pPr>
        <w:pStyle w:val="32"/>
        <w:spacing w:line="360" w:lineRule="auto"/>
        <w:jc w:val="center"/>
        <w:rPr>
          <w:rFonts w:hint="eastAsia" w:ascii="宋体" w:hAnsi="宋体" w:eastAsia="宋体"/>
          <w:kern w:val="0"/>
          <w:sz w:val="24"/>
          <w:szCs w:val="24"/>
        </w:rPr>
      </w:pPr>
      <w:r>
        <w:rPr>
          <w:rFonts w:hint="eastAsia" w:ascii="宋体" w:hAnsi="宋体" w:eastAsia="宋体"/>
          <w:kern w:val="0"/>
          <w:sz w:val="24"/>
          <w:szCs w:val="24"/>
        </w:rPr>
        <w:t>第四章  薪酬调整依据</w:t>
      </w:r>
    </w:p>
    <w:p w14:paraId="761357F9">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第十一条  薪酬体系应为公司的经营战略服务，并随着市场环境及公司经营状况的不断变化而作相应的调整以适应公司的进一步发展需要。</w:t>
      </w:r>
    </w:p>
    <w:p w14:paraId="5F22EC2F">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第十二条  经薪酬与考核委员会审批，并经董事会批准，可以临时地为专门事项设立专项奖励或惩罚，作为对在公司任职的非独立董事、高级管理人员薪酬的临时调整机制。</w:t>
      </w:r>
    </w:p>
    <w:p w14:paraId="59CBA34F">
      <w:pPr>
        <w:pStyle w:val="32"/>
        <w:spacing w:line="360" w:lineRule="auto"/>
        <w:rPr>
          <w:rFonts w:hint="eastAsia" w:ascii="宋体" w:hAnsi="宋体" w:eastAsia="宋体"/>
          <w:kern w:val="0"/>
          <w:sz w:val="24"/>
          <w:szCs w:val="24"/>
        </w:rPr>
      </w:pPr>
    </w:p>
    <w:p w14:paraId="7444FE8A">
      <w:pPr>
        <w:pStyle w:val="32"/>
        <w:spacing w:line="360" w:lineRule="auto"/>
        <w:jc w:val="center"/>
        <w:rPr>
          <w:rFonts w:hint="eastAsia" w:ascii="宋体" w:hAnsi="宋体" w:eastAsia="宋体"/>
          <w:kern w:val="0"/>
          <w:sz w:val="24"/>
          <w:szCs w:val="24"/>
        </w:rPr>
      </w:pPr>
      <w:r>
        <w:rPr>
          <w:rFonts w:hint="eastAsia" w:ascii="宋体" w:hAnsi="宋体" w:eastAsia="宋体"/>
          <w:kern w:val="0"/>
          <w:sz w:val="24"/>
          <w:szCs w:val="24"/>
        </w:rPr>
        <w:t>第五章  薪酬发放和止付追索</w:t>
      </w:r>
    </w:p>
    <w:p w14:paraId="15E5E31B">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第十三条  董事、高级管理人员的津贴、薪酬标准，均为税前金额，公司将按照国家和公司的有关规定扣除下列项目，剩余部分发放给个人。公司代扣代缴项目包括但不限于以下内容：</w:t>
      </w:r>
    </w:p>
    <w:p w14:paraId="2F4636BC">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（一）个人所得税。</w:t>
      </w:r>
    </w:p>
    <w:p w14:paraId="33AE9F6B">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（二）按规定需由个人承担的社会保险费和住房公积金。</w:t>
      </w:r>
    </w:p>
    <w:p w14:paraId="4D268C89">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（三）国家或公司规定的其他款项等应由个人承担的部分。</w:t>
      </w:r>
    </w:p>
    <w:p w14:paraId="5AEA343E">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第十四条 公司董事、高级管理人员因换届、改选、任期内辞职等原因离任的，按其实际任期和实际绩效计算薪酬并予以发放。</w:t>
      </w:r>
    </w:p>
    <w:p w14:paraId="65E30B82">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第十五条  《公司章程》或者相关合同中涉及提前解除董事、高级管理人员任职的补偿内容应当符合公平原则，不得损害公司合法权益，不得进行利益输送。</w:t>
      </w:r>
    </w:p>
    <w:p w14:paraId="523D6406">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第十六条   公司因财务造假等对财务报告进行追溯重述时，应当及时对董事、高级管理人员绩效薪酬和中长期激励收入予以重新考核并相应追回超额发放部分。</w:t>
      </w:r>
    </w:p>
    <w:p w14:paraId="1833264E">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第十七条  公司董事、高级管理人员违反义务给公司造成损失，或者对财务造假、资金占用、违规担保等违法违规行为负有过错的，公司应当根据情节轻重减少、停止支付未支付的绩效薪酬和中长期激励收入，并对相关行为发生期间已经支付的绩效薪酬和中长期激励收入进行全额或部分追回。</w:t>
      </w:r>
    </w:p>
    <w:p w14:paraId="7D5135EE">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第十八条  公司对董事、高级管理人员实行责任追究制度。公司董事、高级管理人员在任职期间，发生下列任一情形，公司可不予发放绩效薪酬或津贴：</w:t>
      </w:r>
    </w:p>
    <w:p w14:paraId="2F8EE31F">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（一）被证券交易所公开谴责或宣布不适合担任上市公司董事、高级管理人员的。</w:t>
      </w:r>
    </w:p>
    <w:p w14:paraId="17ABF940">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（二）因重大违法违规行为被中国证券监督管理委员会或其派出机构予以行政处罚的。</w:t>
      </w:r>
    </w:p>
    <w:p w14:paraId="3B85CFB0">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（三）严重损害公司利益的。</w:t>
      </w:r>
    </w:p>
    <w:p w14:paraId="177D58B3">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（四）不再具有董事和高级管理人员资格或无法履行董事和高级管理人员职责的。</w:t>
      </w:r>
    </w:p>
    <w:p w14:paraId="3EC082A0">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（五）公司董事会认定严重违反公司有关规定的其他情形。</w:t>
      </w:r>
    </w:p>
    <w:p w14:paraId="7A60056B">
      <w:pPr>
        <w:pStyle w:val="32"/>
        <w:spacing w:line="360" w:lineRule="auto"/>
        <w:jc w:val="center"/>
        <w:rPr>
          <w:rFonts w:hint="eastAsia" w:ascii="宋体" w:hAnsi="宋体" w:eastAsia="宋体"/>
          <w:kern w:val="0"/>
          <w:sz w:val="24"/>
          <w:szCs w:val="24"/>
        </w:rPr>
      </w:pPr>
      <w:r>
        <w:rPr>
          <w:rFonts w:hint="eastAsia" w:ascii="宋体" w:hAnsi="宋体" w:eastAsia="宋体"/>
          <w:kern w:val="0"/>
          <w:sz w:val="24"/>
          <w:szCs w:val="24"/>
        </w:rPr>
        <w:t>第六章  附则</w:t>
      </w:r>
    </w:p>
    <w:p w14:paraId="50BCDD25">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第十九条  除非有特别说明，本制度所使用的术语与《公司章程》中该等术语的含义相同。本制度未尽事宜或本制度与有关法律、法规、规章、规范性文件及《公司章程》的规定相抵触时，以有关法律、法规、规章、规范性文件及《公司章程》的规定为准。</w:t>
      </w:r>
    </w:p>
    <w:p w14:paraId="787CB745">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第二十条  本制度的解释权属于董事会。</w:t>
      </w:r>
    </w:p>
    <w:p w14:paraId="638FC24F">
      <w:pPr>
        <w:pStyle w:val="32"/>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第二十一条   本制度自公司股东会审议通过之日起施行。</w:t>
      </w:r>
    </w:p>
    <w:p w14:paraId="1D1E2E70">
      <w:pPr>
        <w:pStyle w:val="32"/>
        <w:spacing w:line="360" w:lineRule="auto"/>
        <w:ind w:firstLine="480" w:firstLineChars="200"/>
        <w:jc w:val="right"/>
        <w:rPr>
          <w:rFonts w:hint="eastAsia" w:ascii="宋体" w:hAnsi="宋体" w:eastAsia="宋体"/>
          <w:kern w:val="0"/>
          <w:sz w:val="24"/>
          <w:szCs w:val="24"/>
        </w:rPr>
      </w:pPr>
    </w:p>
    <w:p w14:paraId="29E83B15">
      <w:pPr>
        <w:pStyle w:val="32"/>
        <w:spacing w:line="360" w:lineRule="auto"/>
        <w:ind w:firstLine="480" w:firstLineChars="200"/>
        <w:jc w:val="right"/>
        <w:rPr>
          <w:rFonts w:hint="eastAsia" w:ascii="宋体" w:hAnsi="宋体" w:eastAsia="宋体"/>
          <w:kern w:val="0"/>
          <w:sz w:val="24"/>
          <w:szCs w:val="24"/>
        </w:rPr>
      </w:pPr>
      <w:r>
        <w:rPr>
          <w:rFonts w:hint="eastAsia" w:ascii="宋体" w:hAnsi="宋体" w:eastAsia="宋体"/>
          <w:kern w:val="0"/>
          <w:sz w:val="24"/>
          <w:szCs w:val="24"/>
        </w:rPr>
        <w:t>山东好当家海洋发展股份有限公司</w:t>
      </w:r>
    </w:p>
    <w:p w14:paraId="4D2F578A">
      <w:pPr>
        <w:jc w:val="right"/>
      </w:pPr>
      <w:r>
        <w:rPr>
          <w:rFonts w:hint="eastAsia" w:ascii="宋体" w:hAnsi="宋体"/>
          <w:kern w:val="0"/>
          <w:sz w:val="24"/>
        </w:rPr>
        <w:t>董事会</w:t>
      </w:r>
    </w:p>
    <w:p w14:paraId="2C3E2AD7">
      <w:pPr>
        <w:pStyle w:val="32"/>
        <w:spacing w:line="360" w:lineRule="auto"/>
        <w:ind w:firstLine="480" w:firstLineChars="200"/>
        <w:jc w:val="right"/>
        <w:rPr>
          <w:rFonts w:hint="eastAsia" w:ascii="宋体" w:hAnsi="宋体" w:eastAsia="宋体"/>
          <w:kern w:val="0"/>
          <w:sz w:val="24"/>
          <w:szCs w:val="24"/>
        </w:rPr>
      </w:pPr>
      <w:r>
        <w:rPr>
          <w:rFonts w:hint="eastAsia" w:ascii="宋体" w:hAnsi="宋体" w:eastAsia="宋体"/>
          <w:kern w:val="0"/>
          <w:sz w:val="24"/>
          <w:szCs w:val="24"/>
        </w:rPr>
        <w:t>2026年5月18日</w:t>
      </w:r>
    </w:p>
    <w:p w14:paraId="221845E6">
      <w:pPr>
        <w:rPr>
          <w:szCs w:val="21"/>
        </w:rPr>
      </w:pPr>
      <w:r>
        <w:rPr>
          <w:rFonts w:hint="eastAsia"/>
          <w:szCs w:val="21"/>
        </w:rPr>
        <w:br w:type="page"/>
      </w:r>
      <w:r>
        <w:rPr>
          <w:rFonts w:hint="eastAsia"/>
          <w:szCs w:val="21"/>
        </w:rPr>
        <w:t>*******************</w:t>
      </w:r>
    </w:p>
    <w:p w14:paraId="183E57C2">
      <w:pPr>
        <w:spacing w:line="240" w:lineRule="exact"/>
        <w:rPr>
          <w:szCs w:val="21"/>
        </w:rPr>
      </w:pPr>
      <w:r>
        <w:rPr>
          <w:rFonts w:hint="eastAsia"/>
          <w:szCs w:val="21"/>
        </w:rPr>
        <w:t>*</w:t>
      </w:r>
      <w:r>
        <w:rPr>
          <w:rFonts w:ascii="Tahoma" w:hAnsi="Tahoma" w:eastAsia="MS PGothic" w:cs="Tahoma"/>
          <w:szCs w:val="21"/>
        </w:rPr>
        <w:t>202</w:t>
      </w:r>
      <w:r>
        <w:rPr>
          <w:rFonts w:hint="eastAsia" w:ascii="Tahoma" w:hAnsi="Tahoma" w:eastAsia="等线" w:cs="Tahoma"/>
          <w:szCs w:val="21"/>
        </w:rPr>
        <w:t>5年</w:t>
      </w:r>
      <w:r>
        <w:rPr>
          <w:rFonts w:ascii="Tahoma" w:hAnsi="Tahoma" w:eastAsia="MS PGothic" w:cs="Tahoma"/>
          <w:szCs w:val="21"/>
        </w:rPr>
        <w:t>年度股</w:t>
      </w:r>
      <w:r>
        <w:rPr>
          <w:rFonts w:hint="eastAsia" w:ascii="宋体" w:hAnsi="宋体" w:cs="宋体"/>
          <w:szCs w:val="21"/>
        </w:rPr>
        <w:t>东</w:t>
      </w:r>
      <w:r>
        <w:rPr>
          <w:rFonts w:hint="eastAsia" w:ascii="MS PGothic" w:hAnsi="MS PGothic" w:eastAsia="MS PGothic" w:cs="MS PGothic"/>
          <w:szCs w:val="21"/>
        </w:rPr>
        <w:t>会</w:t>
      </w:r>
      <w:r>
        <w:rPr>
          <w:rFonts w:hint="eastAsia"/>
          <w:szCs w:val="21"/>
        </w:rPr>
        <w:t>*</w:t>
      </w:r>
    </w:p>
    <w:p w14:paraId="2AB960BB">
      <w:pPr>
        <w:tabs>
          <w:tab w:val="left" w:pos="1260"/>
          <w:tab w:val="left" w:pos="1800"/>
        </w:tabs>
        <w:spacing w:line="240" w:lineRule="exact"/>
        <w:rPr>
          <w:szCs w:val="21"/>
        </w:rPr>
      </w:pPr>
      <w:r>
        <w:rPr>
          <w:rFonts w:hint="eastAsia"/>
          <w:szCs w:val="21"/>
        </w:rPr>
        <w:t>*</w:t>
      </w:r>
      <w:r>
        <w:rPr>
          <w:rFonts w:hint="eastAsia" w:ascii="黑体" w:eastAsia="黑体"/>
          <w:szCs w:val="21"/>
        </w:rPr>
        <w:t xml:space="preserve">文  件 之 十 一  </w:t>
      </w:r>
      <w:r>
        <w:rPr>
          <w:rFonts w:hint="eastAsia"/>
          <w:szCs w:val="21"/>
        </w:rPr>
        <w:t>*</w:t>
      </w:r>
    </w:p>
    <w:p w14:paraId="24C0A2B4">
      <w:pPr>
        <w:spacing w:line="240" w:lineRule="exact"/>
        <w:rPr>
          <w:szCs w:val="21"/>
        </w:rPr>
      </w:pPr>
      <w:r>
        <w:rPr>
          <w:rFonts w:hint="eastAsia"/>
          <w:szCs w:val="21"/>
        </w:rPr>
        <w:t>*******************</w:t>
      </w:r>
    </w:p>
    <w:p w14:paraId="0D2E92C9">
      <w:pPr>
        <w:adjustRightInd w:val="0"/>
        <w:snapToGrid w:val="0"/>
        <w:spacing w:line="360" w:lineRule="auto"/>
        <w:jc w:val="center"/>
        <w:rPr>
          <w:rFonts w:hint="eastAsia" w:ascii="黑体" w:hAnsi="黑体" w:eastAsia="黑体"/>
          <w:b/>
          <w:sz w:val="30"/>
          <w:szCs w:val="30"/>
        </w:rPr>
      </w:pPr>
      <w:r>
        <w:rPr>
          <w:rFonts w:hint="eastAsia" w:ascii="黑体" w:hAnsi="黑体" w:eastAsia="黑体"/>
          <w:b/>
          <w:sz w:val="30"/>
          <w:szCs w:val="30"/>
        </w:rPr>
        <w:t>山东好当家海洋发展股份有限公司</w:t>
      </w:r>
    </w:p>
    <w:p w14:paraId="4EC1CFC2">
      <w:pPr>
        <w:spacing w:line="480" w:lineRule="auto"/>
        <w:jc w:val="center"/>
        <w:rPr>
          <w:rFonts w:hint="eastAsia" w:ascii="黑体" w:hAnsi="黑体" w:eastAsia="黑体" w:cs="黑体"/>
          <w:b/>
          <w:sz w:val="30"/>
          <w:szCs w:val="30"/>
        </w:rPr>
      </w:pPr>
      <w:r>
        <w:rPr>
          <w:rFonts w:hint="eastAsia" w:ascii="黑体" w:hAnsi="黑体" w:eastAsia="黑体" w:cs="黑体"/>
          <w:b/>
          <w:bCs/>
          <w:sz w:val="30"/>
          <w:szCs w:val="30"/>
        </w:rPr>
        <w:t>关于审议公司拟发行境外债券的议案</w:t>
      </w:r>
    </w:p>
    <w:p w14:paraId="7C4C1BCA">
      <w:pPr>
        <w:spacing w:line="360" w:lineRule="auto"/>
        <w:rPr>
          <w:b/>
          <w:sz w:val="28"/>
          <w:szCs w:val="28"/>
        </w:rPr>
      </w:pPr>
      <w:r>
        <w:rPr>
          <w:rFonts w:hint="eastAsia"/>
          <w:b/>
          <w:sz w:val="28"/>
          <w:szCs w:val="28"/>
        </w:rPr>
        <w:t>各位股东、股东代表：</w:t>
      </w:r>
    </w:p>
    <w:p w14:paraId="0ED31E2E">
      <w:pPr>
        <w:spacing w:line="360" w:lineRule="auto"/>
        <w:ind w:firstLine="480" w:firstLineChars="200"/>
        <w:rPr>
          <w:rFonts w:hint="eastAsia" w:ascii="宋体" w:hAnsi="宋体" w:cs="宋体"/>
          <w:sz w:val="24"/>
        </w:rPr>
      </w:pPr>
      <w:r>
        <w:rPr>
          <w:rFonts w:hint="eastAsia" w:ascii="宋体" w:hAnsi="宋体" w:cs="宋体"/>
          <w:sz w:val="24"/>
        </w:rPr>
        <w:t>为进一步优化公司资产负债结构、拓宽融资渠道，满足公司及下属子公司境内外业务发展的资金需求，提升公司国际融资能力，降低融资成本，提请股东会批准公司或公司下属子公司发行境外债券，并授予相关授权，具体内容如下：</w:t>
      </w:r>
    </w:p>
    <w:p w14:paraId="54397FAF">
      <w:pPr>
        <w:spacing w:line="360" w:lineRule="auto"/>
        <w:rPr>
          <w:rFonts w:hint="eastAsia" w:ascii="宋体" w:hAnsi="宋体" w:cs="宋体"/>
          <w:b/>
          <w:bCs/>
          <w:sz w:val="24"/>
        </w:rPr>
      </w:pPr>
      <w:r>
        <w:rPr>
          <w:rFonts w:hint="eastAsia" w:ascii="宋体" w:hAnsi="宋体" w:cs="宋体"/>
          <w:b/>
          <w:bCs/>
          <w:sz w:val="24"/>
        </w:rPr>
        <w:t>一、本次发行方案</w:t>
      </w:r>
    </w:p>
    <w:p w14:paraId="3CE44686">
      <w:pPr>
        <w:spacing w:line="360" w:lineRule="auto"/>
        <w:rPr>
          <w:rFonts w:hint="eastAsia" w:ascii="宋体" w:hAnsi="宋体" w:cs="宋体"/>
          <w:b/>
          <w:bCs/>
          <w:sz w:val="24"/>
        </w:rPr>
      </w:pPr>
      <w:r>
        <w:rPr>
          <w:rFonts w:hint="eastAsia" w:ascii="宋体" w:hAnsi="宋体" w:cs="宋体"/>
          <w:b/>
          <w:bCs/>
          <w:sz w:val="24"/>
        </w:rPr>
        <w:t>（一）发行主体</w:t>
      </w:r>
    </w:p>
    <w:p w14:paraId="1C725661">
      <w:pPr>
        <w:spacing w:line="360" w:lineRule="auto"/>
        <w:ind w:firstLine="480" w:firstLineChars="200"/>
        <w:rPr>
          <w:rFonts w:hint="eastAsia" w:ascii="宋体" w:hAnsi="宋体" w:cs="宋体"/>
          <w:sz w:val="24"/>
        </w:rPr>
      </w:pPr>
      <w:r>
        <w:rPr>
          <w:rFonts w:hint="eastAsia" w:ascii="宋体" w:hAnsi="宋体" w:cs="宋体"/>
          <w:sz w:val="24"/>
        </w:rPr>
        <w:t>本次境外债券的发行主体为公司或公司下属子公司。</w:t>
      </w:r>
    </w:p>
    <w:p w14:paraId="69687697">
      <w:pPr>
        <w:numPr>
          <w:ilvl w:val="0"/>
          <w:numId w:val="3"/>
        </w:numPr>
        <w:spacing w:line="360" w:lineRule="auto"/>
        <w:rPr>
          <w:rFonts w:hint="eastAsia" w:ascii="宋体" w:hAnsi="宋体" w:cs="宋体"/>
          <w:b/>
          <w:bCs/>
          <w:sz w:val="24"/>
        </w:rPr>
      </w:pPr>
      <w:r>
        <w:rPr>
          <w:rFonts w:hint="eastAsia" w:ascii="宋体" w:hAnsi="宋体" w:cs="宋体"/>
          <w:b/>
          <w:bCs/>
          <w:sz w:val="24"/>
        </w:rPr>
        <w:t>发行规模</w:t>
      </w:r>
    </w:p>
    <w:p w14:paraId="679A7743">
      <w:pPr>
        <w:spacing w:line="360" w:lineRule="auto"/>
        <w:ind w:firstLine="480" w:firstLineChars="200"/>
        <w:rPr>
          <w:rFonts w:hint="eastAsia" w:ascii="宋体" w:hAnsi="宋体"/>
          <w:sz w:val="24"/>
        </w:rPr>
      </w:pPr>
      <w:r>
        <w:rPr>
          <w:rFonts w:hint="eastAsia" w:ascii="宋体" w:hAnsi="宋体" w:cs="宋体"/>
          <w:sz w:val="24"/>
        </w:rPr>
        <w:t>本次境外债券发行规模不超过1亿美元（含1亿美元）或等值其他货币，</w:t>
      </w:r>
      <w:r>
        <w:rPr>
          <w:rFonts w:hint="eastAsia" w:ascii="宋体" w:hAnsi="宋体"/>
          <w:sz w:val="24"/>
        </w:rPr>
        <w:t>具体发行规模将视市场情况和公司资金需求情况在上述总额度范围内确定，以国家相关部门审核或登记金额为准。</w:t>
      </w:r>
    </w:p>
    <w:p w14:paraId="2BDE4193">
      <w:pPr>
        <w:spacing w:line="360" w:lineRule="auto"/>
        <w:rPr>
          <w:rFonts w:hint="eastAsia" w:ascii="宋体" w:hAnsi="宋体"/>
          <w:b/>
          <w:bCs/>
          <w:sz w:val="24"/>
        </w:rPr>
      </w:pPr>
      <w:r>
        <w:rPr>
          <w:rFonts w:hint="eastAsia" w:ascii="宋体" w:hAnsi="宋体"/>
          <w:b/>
          <w:bCs/>
          <w:sz w:val="24"/>
        </w:rPr>
        <w:t>（三）发行方式和发行对象</w:t>
      </w:r>
    </w:p>
    <w:p w14:paraId="08865E07">
      <w:pPr>
        <w:spacing w:line="360" w:lineRule="auto"/>
        <w:ind w:firstLine="480" w:firstLineChars="200"/>
        <w:rPr>
          <w:rFonts w:hint="eastAsia" w:ascii="宋体" w:hAnsi="宋体" w:cs="宋体"/>
          <w:sz w:val="24"/>
        </w:rPr>
      </w:pPr>
      <w:r>
        <w:rPr>
          <w:rFonts w:hint="eastAsia" w:ascii="宋体" w:hAnsi="宋体" w:cs="宋体"/>
          <w:sz w:val="24"/>
        </w:rPr>
        <w:t>本次境外债券的发行对象为符合境外相关监管规定及发行地市场要求的合格投资者。具体发行对象，提请股东会授权董事会及相关人士根据相关法律规定、市场情况以及发行具体事宜等与主承销商根据相关法规及市场情况确定。</w:t>
      </w:r>
    </w:p>
    <w:p w14:paraId="25D1D9CF">
      <w:pPr>
        <w:spacing w:line="360" w:lineRule="auto"/>
        <w:rPr>
          <w:rFonts w:hint="eastAsia" w:ascii="宋体" w:hAnsi="宋体" w:cs="宋体"/>
          <w:b/>
          <w:bCs/>
          <w:sz w:val="24"/>
        </w:rPr>
      </w:pPr>
      <w:r>
        <w:rPr>
          <w:rFonts w:hint="eastAsia" w:ascii="宋体" w:hAnsi="宋体" w:cs="宋体"/>
          <w:b/>
          <w:bCs/>
          <w:sz w:val="24"/>
        </w:rPr>
        <w:t>（四）发行期限</w:t>
      </w:r>
    </w:p>
    <w:p w14:paraId="7E9D9491">
      <w:pPr>
        <w:spacing w:line="360" w:lineRule="auto"/>
        <w:ind w:firstLine="480" w:firstLineChars="200"/>
        <w:rPr>
          <w:rFonts w:hint="eastAsia" w:ascii="宋体" w:hAnsi="宋体" w:cs="宋体"/>
          <w:sz w:val="24"/>
        </w:rPr>
      </w:pPr>
      <w:r>
        <w:rPr>
          <w:rFonts w:hint="eastAsia" w:ascii="宋体" w:hAnsi="宋体" w:cs="宋体"/>
          <w:sz w:val="24"/>
        </w:rPr>
        <w:t>本次境外债券的期限不超过5年（含5年）。具体期限构成、各期限品种的规模及还本付息方式、债券币种，提请股东会授权董事会及相关人士根据相关规定及发行时的市场情况确定。可选择分多期发行。本次境外债券可在符合资格的境外证券交易所挂牌上市，具体发行规模、发行批次及上市交易所，提请股东会授权董事会及相关人士根据相关法律法规、监管机构的意见和建议、自身资金需求和发行时市场情况，从维护本公司利益的原则出发在前述范围内全权确定。</w:t>
      </w:r>
    </w:p>
    <w:p w14:paraId="7E596B9E">
      <w:pPr>
        <w:pStyle w:val="25"/>
        <w:spacing w:line="360" w:lineRule="auto"/>
        <w:contextualSpacing/>
        <w:rPr>
          <w:rFonts w:hint="eastAsia" w:ascii="宋体" w:hAnsi="宋体" w:cs="宋体"/>
          <w:b/>
          <w:bCs/>
          <w:kern w:val="2"/>
          <w:sz w:val="24"/>
          <w:szCs w:val="24"/>
          <w:lang w:eastAsia="zh-CN"/>
        </w:rPr>
      </w:pPr>
      <w:r>
        <w:rPr>
          <w:rFonts w:hint="eastAsia" w:ascii="宋体" w:hAnsi="宋体" w:cs="宋体"/>
          <w:b/>
          <w:bCs/>
          <w:kern w:val="2"/>
          <w:sz w:val="24"/>
          <w:szCs w:val="24"/>
          <w:lang w:eastAsia="zh-CN"/>
        </w:rPr>
        <w:t>（五）主承销商委任</w:t>
      </w:r>
    </w:p>
    <w:p w14:paraId="478290CC">
      <w:pPr>
        <w:pStyle w:val="25"/>
        <w:spacing w:line="360" w:lineRule="auto"/>
        <w:ind w:firstLine="480" w:firstLineChars="200"/>
        <w:contextualSpacing/>
        <w:rPr>
          <w:rFonts w:hint="eastAsia" w:ascii="宋体" w:hAnsi="宋体"/>
          <w:sz w:val="24"/>
          <w:szCs w:val="24"/>
          <w:lang w:eastAsia="zh-CN"/>
        </w:rPr>
      </w:pPr>
      <w:r>
        <w:rPr>
          <w:rFonts w:hint="eastAsia" w:ascii="宋体" w:hAnsi="宋体" w:cs="宋体"/>
          <w:sz w:val="24"/>
          <w:szCs w:val="24"/>
          <w:lang w:eastAsia="zh-CN"/>
        </w:rPr>
        <w:t>公司拟委任天风国际证券与期货有限公司担任本次境外债券的主承销商、全球协调人、簿记管理人和牵头安排行。具体中介机构的相关合作事宜，提请股东会授权董事会及相关人士根据实际情况确定、签署相关协议并支付中介费用。</w:t>
      </w:r>
    </w:p>
    <w:p w14:paraId="76F9BA72">
      <w:pPr>
        <w:spacing w:line="360" w:lineRule="auto"/>
        <w:rPr>
          <w:rFonts w:hint="eastAsia" w:ascii="宋体" w:hAnsi="宋体" w:cs="宋体"/>
          <w:b/>
          <w:bCs/>
          <w:sz w:val="24"/>
        </w:rPr>
      </w:pPr>
      <w:r>
        <w:rPr>
          <w:rFonts w:hint="eastAsia" w:ascii="宋体" w:hAnsi="宋体" w:cs="宋体"/>
          <w:b/>
          <w:bCs/>
          <w:sz w:val="24"/>
        </w:rPr>
        <w:t>（六）发行利率及税费</w:t>
      </w:r>
    </w:p>
    <w:p w14:paraId="6572AD89">
      <w:pPr>
        <w:spacing w:line="360" w:lineRule="auto"/>
        <w:ind w:firstLine="480" w:firstLineChars="200"/>
        <w:rPr>
          <w:rFonts w:hint="eastAsia" w:ascii="宋体" w:hAnsi="宋体" w:cs="宋体"/>
          <w:sz w:val="24"/>
        </w:rPr>
      </w:pPr>
      <w:r>
        <w:rPr>
          <w:rFonts w:hint="eastAsia" w:ascii="宋体" w:hAnsi="宋体"/>
          <w:sz w:val="24"/>
        </w:rPr>
        <w:t>公司全额无条件及不可撤销的承担本次境外债本息、税款及其他合理费用；本次境外债为固定利率或浮动利率债券，具体利率形式及水平将由公司与主承销商根据发行时市场情况确定。</w:t>
      </w:r>
    </w:p>
    <w:p w14:paraId="7B784000">
      <w:pPr>
        <w:spacing w:line="360" w:lineRule="auto"/>
        <w:rPr>
          <w:rFonts w:hint="eastAsia" w:ascii="宋体" w:hAnsi="宋体" w:cs="宋体"/>
          <w:b/>
          <w:bCs/>
          <w:sz w:val="24"/>
        </w:rPr>
      </w:pPr>
      <w:r>
        <w:rPr>
          <w:rFonts w:hint="eastAsia" w:ascii="宋体" w:hAnsi="宋体" w:cs="宋体"/>
          <w:b/>
          <w:bCs/>
          <w:sz w:val="24"/>
        </w:rPr>
        <w:t>（七）募集资金用途</w:t>
      </w:r>
    </w:p>
    <w:p w14:paraId="4F3C3B08">
      <w:pPr>
        <w:spacing w:line="360" w:lineRule="auto"/>
        <w:ind w:firstLine="480" w:firstLineChars="200"/>
        <w:rPr>
          <w:rFonts w:hint="eastAsia" w:ascii="宋体" w:hAnsi="宋体" w:cs="宋体"/>
          <w:sz w:val="24"/>
        </w:rPr>
      </w:pPr>
      <w:r>
        <w:rPr>
          <w:rFonts w:hint="eastAsia" w:ascii="宋体" w:hAnsi="宋体"/>
          <w:sz w:val="24"/>
        </w:rPr>
        <w:t>本次境外债的募集资金扣除发行费用后，拟定用途包括但不限于一般公司用途、项目建设、债务置换、补充流动资金等，具体以取得</w:t>
      </w:r>
      <w:r>
        <w:rPr>
          <w:rFonts w:hint="eastAsia" w:ascii="宋体" w:hAnsi="宋体" w:cs="宋体"/>
          <w:sz w:val="24"/>
        </w:rPr>
        <w:t>相关监管机构审批后的最终审批结果为准。</w:t>
      </w:r>
    </w:p>
    <w:p w14:paraId="54B185A3">
      <w:pPr>
        <w:spacing w:line="360" w:lineRule="auto"/>
        <w:rPr>
          <w:rFonts w:hint="eastAsia" w:ascii="宋体" w:hAnsi="宋体" w:cs="宋体"/>
          <w:b/>
          <w:bCs/>
          <w:sz w:val="24"/>
        </w:rPr>
      </w:pPr>
      <w:r>
        <w:rPr>
          <w:rFonts w:hint="eastAsia" w:ascii="宋体" w:hAnsi="宋体" w:cs="宋体"/>
          <w:b/>
          <w:bCs/>
          <w:sz w:val="24"/>
        </w:rPr>
        <w:t>（八）上市地点</w:t>
      </w:r>
    </w:p>
    <w:p w14:paraId="39608EFD">
      <w:pPr>
        <w:spacing w:line="360" w:lineRule="auto"/>
        <w:ind w:firstLine="480" w:firstLineChars="200"/>
        <w:rPr>
          <w:rFonts w:hint="eastAsia" w:ascii="宋体" w:hAnsi="宋体" w:cs="宋体"/>
          <w:sz w:val="24"/>
        </w:rPr>
      </w:pPr>
      <w:r>
        <w:rPr>
          <w:rFonts w:hint="eastAsia" w:ascii="宋体" w:hAnsi="宋体"/>
          <w:sz w:val="24"/>
        </w:rPr>
        <w:t>香港联交所、澳门交易所或其它符合条件的境外交易所。</w:t>
      </w:r>
    </w:p>
    <w:p w14:paraId="485A5268">
      <w:pPr>
        <w:spacing w:line="360" w:lineRule="auto"/>
        <w:rPr>
          <w:rFonts w:hint="eastAsia" w:ascii="宋体" w:hAnsi="宋体" w:cs="宋体"/>
          <w:b/>
          <w:bCs/>
          <w:sz w:val="24"/>
        </w:rPr>
      </w:pPr>
      <w:r>
        <w:rPr>
          <w:rFonts w:hint="eastAsia" w:ascii="宋体" w:hAnsi="宋体" w:cs="宋体"/>
          <w:b/>
          <w:bCs/>
          <w:sz w:val="24"/>
        </w:rPr>
        <w:t>（九）担保情况</w:t>
      </w:r>
    </w:p>
    <w:p w14:paraId="4C183918">
      <w:pPr>
        <w:spacing w:line="360" w:lineRule="auto"/>
        <w:ind w:firstLine="480" w:firstLineChars="200"/>
        <w:rPr>
          <w:rFonts w:hint="eastAsia" w:ascii="宋体" w:hAnsi="宋体" w:cs="宋体"/>
          <w:sz w:val="24"/>
        </w:rPr>
      </w:pPr>
      <w:r>
        <w:rPr>
          <w:rFonts w:hint="eastAsia" w:ascii="宋体" w:hAnsi="宋体"/>
          <w:sz w:val="24"/>
        </w:rPr>
        <w:t>公司为本次境外债发行可采取合理的增信措施，包括但不限于提供担保、维好、由商业银行出具备用信用证等</w:t>
      </w:r>
      <w:r>
        <w:rPr>
          <w:rFonts w:hint="eastAsia" w:ascii="宋体" w:hAnsi="宋体" w:cs="宋体"/>
          <w:sz w:val="24"/>
        </w:rPr>
        <w:t>。具体担保措施，提请股东会授权董事会及相关人士根据实际情况确定。</w:t>
      </w:r>
    </w:p>
    <w:p w14:paraId="58533B56">
      <w:pPr>
        <w:spacing w:line="360" w:lineRule="auto"/>
        <w:rPr>
          <w:rFonts w:hint="eastAsia" w:ascii="宋体" w:hAnsi="宋体" w:cs="宋体"/>
          <w:b/>
          <w:bCs/>
          <w:sz w:val="24"/>
        </w:rPr>
      </w:pPr>
      <w:r>
        <w:rPr>
          <w:rFonts w:hint="eastAsia" w:ascii="宋体" w:hAnsi="宋体" w:cs="宋体"/>
          <w:b/>
          <w:bCs/>
          <w:sz w:val="24"/>
        </w:rPr>
        <w:t>（十）决议有效期</w:t>
      </w:r>
    </w:p>
    <w:p w14:paraId="0C18487C">
      <w:pPr>
        <w:spacing w:line="360" w:lineRule="auto"/>
        <w:ind w:firstLine="480" w:firstLineChars="200"/>
        <w:rPr>
          <w:rFonts w:hint="eastAsia" w:ascii="宋体" w:hAnsi="宋体" w:cs="宋体"/>
          <w:sz w:val="24"/>
        </w:rPr>
      </w:pPr>
      <w:r>
        <w:rPr>
          <w:rFonts w:hint="eastAsia" w:ascii="宋体" w:hAnsi="宋体"/>
          <w:sz w:val="24"/>
        </w:rPr>
        <w:t>本次境外债的股东会决议有效期自公司股东会审议通过之日起至境外债事项办理完毕之日止</w:t>
      </w:r>
      <w:r>
        <w:rPr>
          <w:rFonts w:hint="eastAsia" w:ascii="宋体" w:hAnsi="宋体" w:cs="宋体"/>
          <w:sz w:val="24"/>
        </w:rPr>
        <w:t>。</w:t>
      </w:r>
    </w:p>
    <w:p w14:paraId="1AA1624A">
      <w:pPr>
        <w:spacing w:line="360" w:lineRule="auto"/>
        <w:rPr>
          <w:rFonts w:hint="eastAsia" w:ascii="宋体" w:hAnsi="宋体" w:cs="宋体"/>
          <w:b/>
          <w:bCs/>
          <w:sz w:val="24"/>
        </w:rPr>
      </w:pPr>
      <w:r>
        <w:rPr>
          <w:rFonts w:hint="eastAsia" w:ascii="宋体" w:hAnsi="宋体" w:cs="宋体"/>
          <w:b/>
          <w:bCs/>
          <w:sz w:val="24"/>
        </w:rPr>
        <w:t>二、本次发行境外债券授权事项</w:t>
      </w:r>
    </w:p>
    <w:p w14:paraId="3C446EED">
      <w:pPr>
        <w:spacing w:line="360" w:lineRule="auto"/>
        <w:ind w:firstLine="480" w:firstLineChars="200"/>
        <w:rPr>
          <w:rFonts w:hint="eastAsia" w:ascii="宋体" w:hAnsi="宋体" w:cs="宋体"/>
          <w:sz w:val="24"/>
        </w:rPr>
      </w:pPr>
      <w:r>
        <w:rPr>
          <w:rFonts w:hint="eastAsia" w:ascii="宋体" w:hAnsi="宋体"/>
          <w:sz w:val="24"/>
        </w:rPr>
        <w:t>为提高本次境外债发行的工作效率，公司董事会提请股东会授权董事会办理本次境外债发行事项，由董事会在前述授权范围内转授权公司管理层在有关法律法规许可范围内及公司股东会审议通过的发行方案框架和原则下，从维护公司利益最大化的原则出发，根据实际情况全权办理与实施与本次境外债发行有关的一切事宜，包括但不限于：</w:t>
      </w:r>
    </w:p>
    <w:p w14:paraId="28603CDC">
      <w:pPr>
        <w:pStyle w:val="25"/>
        <w:spacing w:line="400" w:lineRule="exact"/>
        <w:ind w:firstLine="480" w:firstLineChars="200"/>
        <w:contextualSpacing/>
        <w:rPr>
          <w:rFonts w:hint="eastAsia" w:ascii="宋体" w:hAnsi="宋体"/>
          <w:sz w:val="24"/>
          <w:szCs w:val="24"/>
          <w:lang w:eastAsia="zh-CN"/>
        </w:rPr>
      </w:pPr>
      <w:r>
        <w:rPr>
          <w:rFonts w:hint="eastAsia" w:ascii="宋体" w:hAnsi="宋体"/>
          <w:sz w:val="24"/>
          <w:szCs w:val="24"/>
          <w:lang w:eastAsia="zh-CN"/>
        </w:rPr>
        <w:t>1、在有关法律、法规、规范性文件允许的范围内，制定和调整本次境外债的具体发行方案，包括但不限于本次境外债发行的发行主体、发行时机、债券种类、币种、发行规模、发行结构、发行市场、适用规则和法律、发行对象、期限、发行价格、利率或其确定方式、发行费用、是否分期发行及发行期数、是否设置回售条款或赎回条款、评级安排、还本付息的期限和方式、具体申购办法、具体配售安排、内外部增信机制及相关安排、募集资金的具体安排、登记注册、境外债上市及上市场所、降低偿付风险措施、偿债保障措施、存续期管理等与境外市场发行债券或票据有关的全部事宜；</w:t>
      </w:r>
    </w:p>
    <w:p w14:paraId="0F0B97B2">
      <w:pPr>
        <w:pStyle w:val="25"/>
        <w:spacing w:line="400" w:lineRule="exact"/>
        <w:ind w:firstLine="480" w:firstLineChars="200"/>
        <w:contextualSpacing/>
        <w:rPr>
          <w:rFonts w:hint="eastAsia" w:ascii="宋体" w:hAnsi="宋体"/>
          <w:sz w:val="24"/>
          <w:szCs w:val="24"/>
          <w:lang w:eastAsia="zh-CN"/>
        </w:rPr>
      </w:pPr>
      <w:r>
        <w:rPr>
          <w:rFonts w:hint="eastAsia" w:ascii="宋体" w:hAnsi="宋体"/>
          <w:sz w:val="24"/>
          <w:szCs w:val="24"/>
          <w:lang w:eastAsia="zh-CN"/>
        </w:rPr>
        <w:t>2、决定并聘请参与债券发行的承销商、中介机构，签署、执行、修改、完成与本次境外债发行相关的所有协议和文件，完成发行工作，并按照相关协议或合同支付费用；按相关法律法规及相关交易所上市规则等政策指引及监管要求而进行相关的信息披露（包括但不限于与境外市场发行债券相关的所有公告、通函等）；</w:t>
      </w:r>
    </w:p>
    <w:p w14:paraId="4AC73DFD">
      <w:pPr>
        <w:pStyle w:val="25"/>
        <w:spacing w:line="400" w:lineRule="exact"/>
        <w:ind w:firstLine="480" w:firstLineChars="200"/>
        <w:contextualSpacing/>
        <w:rPr>
          <w:rFonts w:hint="eastAsia" w:ascii="宋体" w:hAnsi="宋体"/>
          <w:sz w:val="24"/>
          <w:szCs w:val="24"/>
          <w:lang w:eastAsia="zh-CN"/>
        </w:rPr>
      </w:pPr>
      <w:r>
        <w:rPr>
          <w:rFonts w:hint="eastAsia" w:ascii="宋体" w:hAnsi="宋体"/>
          <w:sz w:val="24"/>
          <w:szCs w:val="24"/>
          <w:lang w:eastAsia="zh-CN"/>
        </w:rPr>
        <w:t>3、办理与本次境外债发行相关的境内外政府部门及监管机构的审核、备案、登记及行政手续（包括但不限于国家发改委审核、国家外汇管理局备案/登记等），根据有关监管部门的要求制作、修改、报送债券发行的申报材料，签署、执行、修改相关申报文件及其他法律文件，负责办理本次境外债在境外证券交易所的上市申请、电子呈交系统开户、规则豁免申请等一切相关事宜，并授权公司相关负责人作为上市代理人履行上述职能；</w:t>
      </w:r>
    </w:p>
    <w:p w14:paraId="58A1E0D6">
      <w:pPr>
        <w:pStyle w:val="25"/>
        <w:spacing w:line="400" w:lineRule="exact"/>
        <w:ind w:firstLine="480" w:firstLineChars="200"/>
        <w:contextualSpacing/>
        <w:rPr>
          <w:rFonts w:hint="eastAsia" w:ascii="宋体" w:hAnsi="宋体"/>
          <w:sz w:val="24"/>
          <w:szCs w:val="24"/>
          <w:lang w:eastAsia="zh-CN"/>
        </w:rPr>
      </w:pPr>
      <w:r>
        <w:rPr>
          <w:rFonts w:hint="eastAsia" w:ascii="宋体" w:hAnsi="宋体"/>
          <w:sz w:val="24"/>
          <w:szCs w:val="24"/>
          <w:lang w:eastAsia="zh-CN"/>
        </w:rPr>
        <w:t>4、除涉及债券适用法律、法规及《公司章程》等规定须由股东会重新表决的事项外，根据债券适用法律变更、政策变化或市场条件变化，对本次境外债发行的相关事项进行相应调整，或根据实际情况决定是否继续实施本次境外债发行；</w:t>
      </w:r>
    </w:p>
    <w:p w14:paraId="553B47FC">
      <w:pPr>
        <w:pStyle w:val="25"/>
        <w:spacing w:line="400" w:lineRule="exact"/>
        <w:ind w:firstLine="480" w:firstLineChars="200"/>
        <w:contextualSpacing/>
        <w:rPr>
          <w:rFonts w:hint="eastAsia" w:ascii="宋体" w:hAnsi="宋体"/>
          <w:sz w:val="24"/>
          <w:szCs w:val="24"/>
          <w:lang w:eastAsia="zh-CN"/>
        </w:rPr>
      </w:pPr>
      <w:r>
        <w:rPr>
          <w:rFonts w:hint="eastAsia" w:ascii="宋体" w:hAnsi="宋体"/>
          <w:sz w:val="24"/>
          <w:szCs w:val="24"/>
          <w:lang w:eastAsia="zh-CN"/>
        </w:rPr>
        <w:t>5、授权公司董事长（或董事长授权人）根据公司股东会决议确定的授权范围及董事会的授权，代表公司具体处理与本次境外债发行事项有关的事务；</w:t>
      </w:r>
    </w:p>
    <w:p w14:paraId="5E456B02">
      <w:pPr>
        <w:spacing w:line="400" w:lineRule="exact"/>
        <w:ind w:firstLine="480" w:firstLineChars="200"/>
        <w:rPr>
          <w:rFonts w:hint="eastAsia" w:ascii="宋体" w:hAnsi="宋体" w:cs="宋体"/>
          <w:sz w:val="24"/>
        </w:rPr>
      </w:pPr>
      <w:r>
        <w:rPr>
          <w:rFonts w:hint="eastAsia" w:ascii="宋体" w:hAnsi="宋体"/>
          <w:sz w:val="24"/>
        </w:rPr>
        <w:t>6、上述授权有效期自公司股东会审议通过之日起至上述授权事项办理完毕之日止。</w:t>
      </w:r>
    </w:p>
    <w:p w14:paraId="28270B1D">
      <w:pPr>
        <w:spacing w:line="400" w:lineRule="exact"/>
        <w:ind w:firstLine="480" w:firstLineChars="200"/>
        <w:rPr>
          <w:rFonts w:hint="eastAsia" w:ascii="宋体" w:hAnsi="宋体" w:cs="宋体"/>
          <w:sz w:val="24"/>
        </w:rPr>
      </w:pPr>
      <w:r>
        <w:rPr>
          <w:rFonts w:ascii="宋体" w:hAnsi="宋体" w:cs="宋体"/>
          <w:sz w:val="24"/>
        </w:rPr>
        <w:t>本议案已经第</w:t>
      </w:r>
      <w:r>
        <w:rPr>
          <w:rFonts w:hint="eastAsia" w:ascii="宋体" w:hAnsi="宋体" w:cs="宋体"/>
          <w:sz w:val="24"/>
        </w:rPr>
        <w:t>十一</w:t>
      </w:r>
      <w:r>
        <w:rPr>
          <w:rFonts w:ascii="宋体" w:hAnsi="宋体" w:cs="宋体"/>
          <w:sz w:val="24"/>
        </w:rPr>
        <w:t>届董事会第十</w:t>
      </w:r>
      <w:r>
        <w:rPr>
          <w:rFonts w:hint="eastAsia" w:ascii="宋体" w:hAnsi="宋体" w:cs="宋体"/>
          <w:sz w:val="24"/>
        </w:rPr>
        <w:t>六</w:t>
      </w:r>
      <w:r>
        <w:rPr>
          <w:rFonts w:ascii="宋体" w:hAnsi="宋体" w:cs="宋体"/>
          <w:sz w:val="24"/>
        </w:rPr>
        <w:t>次会议审议通过。</w:t>
      </w:r>
    </w:p>
    <w:p w14:paraId="7CE213C6">
      <w:pPr>
        <w:spacing w:line="400" w:lineRule="exact"/>
        <w:rPr>
          <w:rFonts w:hint="eastAsia" w:ascii="宋体" w:hAnsi="宋体"/>
          <w:sz w:val="24"/>
        </w:rPr>
      </w:pPr>
      <w:r>
        <w:rPr>
          <w:rFonts w:hint="eastAsia" w:ascii="宋体" w:hAnsi="宋体"/>
          <w:sz w:val="24"/>
        </w:rPr>
        <w:t>上述议案请各位与会股东审议表决。</w:t>
      </w:r>
    </w:p>
    <w:p w14:paraId="081D94A2">
      <w:pPr>
        <w:spacing w:line="400" w:lineRule="exact"/>
        <w:jc w:val="right"/>
        <w:rPr>
          <w:rFonts w:hint="eastAsia" w:ascii="宋体" w:hAnsi="宋体"/>
          <w:sz w:val="24"/>
        </w:rPr>
      </w:pPr>
      <w:r>
        <w:rPr>
          <w:rFonts w:hint="eastAsia" w:ascii="宋体" w:hAnsi="宋体"/>
          <w:sz w:val="24"/>
        </w:rPr>
        <w:t>山东好当家海洋发展股份有限公司</w:t>
      </w:r>
    </w:p>
    <w:p w14:paraId="71DBCE82">
      <w:pPr>
        <w:spacing w:line="400" w:lineRule="exact"/>
        <w:jc w:val="right"/>
        <w:rPr>
          <w:rFonts w:hint="eastAsia" w:ascii="宋体" w:hAnsi="宋体"/>
          <w:sz w:val="24"/>
        </w:rPr>
      </w:pPr>
      <w:r>
        <w:rPr>
          <w:rFonts w:hint="eastAsia" w:ascii="宋体" w:hAnsi="宋体"/>
          <w:sz w:val="24"/>
        </w:rPr>
        <w:t>董事会</w:t>
      </w:r>
    </w:p>
    <w:p w14:paraId="188E5241">
      <w:pPr>
        <w:spacing w:line="400" w:lineRule="exact"/>
        <w:jc w:val="right"/>
        <w:rPr>
          <w:rFonts w:hint="eastAsia" w:ascii="宋体" w:hAnsi="宋体"/>
          <w:sz w:val="24"/>
        </w:rPr>
      </w:pPr>
      <w:r>
        <w:rPr>
          <w:rFonts w:hint="eastAsia" w:ascii="宋体" w:hAnsi="宋体"/>
          <w:sz w:val="24"/>
        </w:rPr>
        <w:t xml:space="preserve">                                          2026年5月18日</w:t>
      </w:r>
    </w:p>
    <w:p w14:paraId="26F6595D">
      <w:pPr>
        <w:spacing w:line="420" w:lineRule="exact"/>
        <w:jc w:val="right"/>
        <w:rPr>
          <w:rFonts w:hint="eastAsia" w:ascii="宋体" w:hAnsi="宋体"/>
          <w:sz w:val="24"/>
        </w:rPr>
      </w:pPr>
    </w:p>
    <w:sectPr>
      <w:pgSz w:w="11906" w:h="16838"/>
      <w:pgMar w:top="1440" w:right="1928" w:bottom="1440" w:left="192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mic Sans MS">
    <w:panose1 w:val="030F0702030302020204"/>
    <w:charset w:val="00"/>
    <w:family w:val="script"/>
    <w:pitch w:val="default"/>
    <w:sig w:usb0="00000687" w:usb1="00000013" w:usb2="00000000" w:usb3="00000000" w:csb0="2000009F" w:csb1="00000000"/>
  </w:font>
  <w:font w:name="Franklin Gothic Medium">
    <w:panose1 w:val="020B0603020102020204"/>
    <w:charset w:val="00"/>
    <w:family w:val="swiss"/>
    <w:pitch w:val="default"/>
    <w:sig w:usb0="00000287" w:usb1="00000000" w:usb2="00000000" w:usb3="00000000" w:csb0="2000009F" w:csb1="DFD70000"/>
  </w:font>
  <w:font w:name="Raavi">
    <w:altName w:val="Segoe UI Symbol"/>
    <w:panose1 w:val="020005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PGothic">
    <w:panose1 w:val="020B0600070205080204"/>
    <w:charset w:val="80"/>
    <w:family w:val="swiss"/>
    <w:pitch w:val="default"/>
    <w:sig w:usb0="E00002FF" w:usb1="6AC7FDFB" w:usb2="08000012" w:usb3="00000000" w:csb0="4002009F" w:csb1="DFD70000"/>
  </w:font>
  <w:font w:name="KSOFF9CC6125">
    <w:panose1 w:val="02010609060101010101"/>
    <w:charset w:val="86"/>
    <w:family w:val="auto"/>
    <w:pitch w:val="default"/>
    <w:sig w:usb0="00000001" w:usb1="00000000" w:usb2="00000000" w:usb3="00000000" w:csb0="00040001"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E2B7D">
    <w:pPr>
      <w:pStyle w:val="7"/>
      <w:jc w:val="center"/>
    </w:pPr>
    <w:r>
      <w:fldChar w:fldCharType="begin"/>
    </w:r>
    <w:r>
      <w:instrText xml:space="preserve">PAGE   \* MERGEFORMAT</w:instrText>
    </w:r>
    <w:r>
      <w:fldChar w:fldCharType="separate"/>
    </w:r>
    <w:r>
      <w:rPr>
        <w:lang w:val="zh-CN"/>
      </w:rPr>
      <w:t>2</w:t>
    </w:r>
    <w:r>
      <w:fldChar w:fldCharType="end"/>
    </w:r>
  </w:p>
  <w:p w14:paraId="66971F91">
    <w:pPr>
      <w:pStyle w:val="7"/>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196F3">
    <w:pPr>
      <w:pStyle w:val="7"/>
      <w:framePr w:wrap="around" w:vAnchor="text" w:hAnchor="margin" w:xAlign="right" w:y="1"/>
      <w:rPr>
        <w:rStyle w:val="14"/>
      </w:rPr>
    </w:pPr>
    <w:r>
      <w:fldChar w:fldCharType="begin"/>
    </w:r>
    <w:r>
      <w:rPr>
        <w:rStyle w:val="14"/>
      </w:rPr>
      <w:instrText xml:space="preserve">PAGE  </w:instrText>
    </w:r>
    <w:r>
      <w:fldChar w:fldCharType="end"/>
    </w:r>
  </w:p>
  <w:p w14:paraId="2288D753">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6E60B"/>
    <w:multiLevelType w:val="singleLevel"/>
    <w:tmpl w:val="E0C6E60B"/>
    <w:lvl w:ilvl="0" w:tentative="0">
      <w:start w:val="1"/>
      <w:numFmt w:val="decimal"/>
      <w:suff w:val="nothing"/>
      <w:lvlText w:val="%1、"/>
      <w:lvlJc w:val="left"/>
    </w:lvl>
  </w:abstractNum>
  <w:abstractNum w:abstractNumId="1">
    <w:nsid w:val="3F811937"/>
    <w:multiLevelType w:val="singleLevel"/>
    <w:tmpl w:val="3F811937"/>
    <w:lvl w:ilvl="0" w:tentative="0">
      <w:start w:val="2"/>
      <w:numFmt w:val="chineseCounting"/>
      <w:suff w:val="nothing"/>
      <w:lvlText w:val="（%1）"/>
      <w:lvlJc w:val="left"/>
      <w:rPr>
        <w:rFonts w:hint="eastAsia"/>
      </w:rPr>
    </w:lvl>
  </w:abstractNum>
  <w:abstractNum w:abstractNumId="2">
    <w:nsid w:val="60F3255D"/>
    <w:multiLevelType w:val="singleLevel"/>
    <w:tmpl w:val="60F3255D"/>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EFB"/>
    <w:rsid w:val="00005B76"/>
    <w:rsid w:val="00010DF3"/>
    <w:rsid w:val="00013B85"/>
    <w:rsid w:val="00066ACE"/>
    <w:rsid w:val="000674BD"/>
    <w:rsid w:val="00074F51"/>
    <w:rsid w:val="0007661E"/>
    <w:rsid w:val="00085B35"/>
    <w:rsid w:val="00100710"/>
    <w:rsid w:val="00103D12"/>
    <w:rsid w:val="00126A4B"/>
    <w:rsid w:val="001620FF"/>
    <w:rsid w:val="001709C6"/>
    <w:rsid w:val="001735C0"/>
    <w:rsid w:val="00183280"/>
    <w:rsid w:val="001B4A28"/>
    <w:rsid w:val="001C117C"/>
    <w:rsid w:val="001C54DC"/>
    <w:rsid w:val="001C68E0"/>
    <w:rsid w:val="001E589C"/>
    <w:rsid w:val="001F204A"/>
    <w:rsid w:val="00214B0F"/>
    <w:rsid w:val="00214B8B"/>
    <w:rsid w:val="00214C3D"/>
    <w:rsid w:val="0022015A"/>
    <w:rsid w:val="00235AD0"/>
    <w:rsid w:val="002408E3"/>
    <w:rsid w:val="002434E8"/>
    <w:rsid w:val="002574A8"/>
    <w:rsid w:val="002824F9"/>
    <w:rsid w:val="00282C58"/>
    <w:rsid w:val="002B25A8"/>
    <w:rsid w:val="002D363B"/>
    <w:rsid w:val="002D7EEC"/>
    <w:rsid w:val="002F0A0D"/>
    <w:rsid w:val="002F3507"/>
    <w:rsid w:val="002F544D"/>
    <w:rsid w:val="00305F88"/>
    <w:rsid w:val="003548AE"/>
    <w:rsid w:val="00355E77"/>
    <w:rsid w:val="00360418"/>
    <w:rsid w:val="003753DA"/>
    <w:rsid w:val="0038235B"/>
    <w:rsid w:val="003B23A9"/>
    <w:rsid w:val="003D3683"/>
    <w:rsid w:val="004023D1"/>
    <w:rsid w:val="00417638"/>
    <w:rsid w:val="00424837"/>
    <w:rsid w:val="0043503D"/>
    <w:rsid w:val="00436D72"/>
    <w:rsid w:val="00440291"/>
    <w:rsid w:val="004720D8"/>
    <w:rsid w:val="00477537"/>
    <w:rsid w:val="00490F74"/>
    <w:rsid w:val="004920B3"/>
    <w:rsid w:val="00492929"/>
    <w:rsid w:val="004A5130"/>
    <w:rsid w:val="004D45C3"/>
    <w:rsid w:val="00505151"/>
    <w:rsid w:val="00540428"/>
    <w:rsid w:val="00543A3A"/>
    <w:rsid w:val="00557ED6"/>
    <w:rsid w:val="00562836"/>
    <w:rsid w:val="00580C10"/>
    <w:rsid w:val="005A6F55"/>
    <w:rsid w:val="005B0281"/>
    <w:rsid w:val="005B19BC"/>
    <w:rsid w:val="005B1B2C"/>
    <w:rsid w:val="005C20AB"/>
    <w:rsid w:val="005E4065"/>
    <w:rsid w:val="005F50B9"/>
    <w:rsid w:val="00603986"/>
    <w:rsid w:val="0063647C"/>
    <w:rsid w:val="00642D14"/>
    <w:rsid w:val="00654699"/>
    <w:rsid w:val="006641A2"/>
    <w:rsid w:val="00664B0D"/>
    <w:rsid w:val="00675E50"/>
    <w:rsid w:val="00683CD3"/>
    <w:rsid w:val="006913BA"/>
    <w:rsid w:val="00692B74"/>
    <w:rsid w:val="006A3560"/>
    <w:rsid w:val="006B5B7E"/>
    <w:rsid w:val="006F1C31"/>
    <w:rsid w:val="006F3A3D"/>
    <w:rsid w:val="00732ACB"/>
    <w:rsid w:val="00733FA5"/>
    <w:rsid w:val="00741146"/>
    <w:rsid w:val="00745D55"/>
    <w:rsid w:val="00756C86"/>
    <w:rsid w:val="00784FD7"/>
    <w:rsid w:val="007877A5"/>
    <w:rsid w:val="007B2B5B"/>
    <w:rsid w:val="007B3F5E"/>
    <w:rsid w:val="007B4F66"/>
    <w:rsid w:val="007B6436"/>
    <w:rsid w:val="007B7ECE"/>
    <w:rsid w:val="007E6331"/>
    <w:rsid w:val="007F0585"/>
    <w:rsid w:val="00820A59"/>
    <w:rsid w:val="00823139"/>
    <w:rsid w:val="008435F2"/>
    <w:rsid w:val="0086699C"/>
    <w:rsid w:val="00867311"/>
    <w:rsid w:val="008971AD"/>
    <w:rsid w:val="008A685B"/>
    <w:rsid w:val="008E4E95"/>
    <w:rsid w:val="009039CF"/>
    <w:rsid w:val="00912C71"/>
    <w:rsid w:val="00915475"/>
    <w:rsid w:val="00923953"/>
    <w:rsid w:val="00950083"/>
    <w:rsid w:val="00953573"/>
    <w:rsid w:val="0096229F"/>
    <w:rsid w:val="00977A1E"/>
    <w:rsid w:val="009A14C4"/>
    <w:rsid w:val="009C015D"/>
    <w:rsid w:val="009C41BB"/>
    <w:rsid w:val="009C737D"/>
    <w:rsid w:val="009D1F36"/>
    <w:rsid w:val="009D3A20"/>
    <w:rsid w:val="009D4CAA"/>
    <w:rsid w:val="009D5EFB"/>
    <w:rsid w:val="00A2161F"/>
    <w:rsid w:val="00A463FF"/>
    <w:rsid w:val="00A558F2"/>
    <w:rsid w:val="00A76047"/>
    <w:rsid w:val="00A951DE"/>
    <w:rsid w:val="00AA7716"/>
    <w:rsid w:val="00AD56F2"/>
    <w:rsid w:val="00AF7812"/>
    <w:rsid w:val="00B00391"/>
    <w:rsid w:val="00B115FD"/>
    <w:rsid w:val="00B36368"/>
    <w:rsid w:val="00B517BE"/>
    <w:rsid w:val="00B577FB"/>
    <w:rsid w:val="00B62696"/>
    <w:rsid w:val="00B7274A"/>
    <w:rsid w:val="00B843C8"/>
    <w:rsid w:val="00B87AE8"/>
    <w:rsid w:val="00BD491C"/>
    <w:rsid w:val="00C07B60"/>
    <w:rsid w:val="00C23E83"/>
    <w:rsid w:val="00C34ABE"/>
    <w:rsid w:val="00C34B38"/>
    <w:rsid w:val="00C3553A"/>
    <w:rsid w:val="00C6163A"/>
    <w:rsid w:val="00C74811"/>
    <w:rsid w:val="00C83FAE"/>
    <w:rsid w:val="00CA0F47"/>
    <w:rsid w:val="00D029E0"/>
    <w:rsid w:val="00D23230"/>
    <w:rsid w:val="00D30D89"/>
    <w:rsid w:val="00D47BB1"/>
    <w:rsid w:val="00D96FD6"/>
    <w:rsid w:val="00DA5250"/>
    <w:rsid w:val="00DB12B7"/>
    <w:rsid w:val="00DC1368"/>
    <w:rsid w:val="00DE100D"/>
    <w:rsid w:val="00E03727"/>
    <w:rsid w:val="00E1618C"/>
    <w:rsid w:val="00E240B4"/>
    <w:rsid w:val="00E246E0"/>
    <w:rsid w:val="00E2512B"/>
    <w:rsid w:val="00E34F98"/>
    <w:rsid w:val="00E36C1E"/>
    <w:rsid w:val="00E570BF"/>
    <w:rsid w:val="00E629DB"/>
    <w:rsid w:val="00E63629"/>
    <w:rsid w:val="00E643DF"/>
    <w:rsid w:val="00E9060A"/>
    <w:rsid w:val="00ED58D4"/>
    <w:rsid w:val="00ED5FCC"/>
    <w:rsid w:val="00EF7139"/>
    <w:rsid w:val="00F23D01"/>
    <w:rsid w:val="00F352A3"/>
    <w:rsid w:val="00F36749"/>
    <w:rsid w:val="00F37938"/>
    <w:rsid w:val="00F40EEA"/>
    <w:rsid w:val="00F52168"/>
    <w:rsid w:val="00F55319"/>
    <w:rsid w:val="00F571EA"/>
    <w:rsid w:val="00F8336A"/>
    <w:rsid w:val="00F900CA"/>
    <w:rsid w:val="00FA3D6E"/>
    <w:rsid w:val="00FC19DC"/>
    <w:rsid w:val="05412745"/>
    <w:rsid w:val="07637F96"/>
    <w:rsid w:val="07D35B7B"/>
    <w:rsid w:val="08C14FB8"/>
    <w:rsid w:val="0CC42540"/>
    <w:rsid w:val="102F677F"/>
    <w:rsid w:val="11E25597"/>
    <w:rsid w:val="12B72298"/>
    <w:rsid w:val="158E72E0"/>
    <w:rsid w:val="1EE837B7"/>
    <w:rsid w:val="201253F0"/>
    <w:rsid w:val="229D5007"/>
    <w:rsid w:val="24166241"/>
    <w:rsid w:val="25583467"/>
    <w:rsid w:val="2E1C5DE2"/>
    <w:rsid w:val="31F14A11"/>
    <w:rsid w:val="34496E47"/>
    <w:rsid w:val="35B24673"/>
    <w:rsid w:val="362F7EB8"/>
    <w:rsid w:val="368C43A5"/>
    <w:rsid w:val="38E54ED4"/>
    <w:rsid w:val="3B2A761D"/>
    <w:rsid w:val="3CE847B7"/>
    <w:rsid w:val="3DC55F33"/>
    <w:rsid w:val="3F8B5FCC"/>
    <w:rsid w:val="3FAA090B"/>
    <w:rsid w:val="40086486"/>
    <w:rsid w:val="44240C8C"/>
    <w:rsid w:val="469B68D6"/>
    <w:rsid w:val="4D164080"/>
    <w:rsid w:val="4DB075BC"/>
    <w:rsid w:val="4F3A18BA"/>
    <w:rsid w:val="53405E66"/>
    <w:rsid w:val="53E126F6"/>
    <w:rsid w:val="59C52172"/>
    <w:rsid w:val="5E850121"/>
    <w:rsid w:val="5EBD78BB"/>
    <w:rsid w:val="60730B79"/>
    <w:rsid w:val="60787F3E"/>
    <w:rsid w:val="627B3CDF"/>
    <w:rsid w:val="66294507"/>
    <w:rsid w:val="670D6F06"/>
    <w:rsid w:val="6E095A12"/>
    <w:rsid w:val="70861FA3"/>
    <w:rsid w:val="70B0102E"/>
    <w:rsid w:val="72F471AE"/>
    <w:rsid w:val="7376359C"/>
    <w:rsid w:val="74145D78"/>
    <w:rsid w:val="74AA33C7"/>
    <w:rsid w:val="7520725B"/>
    <w:rsid w:val="76F22A3C"/>
    <w:rsid w:val="789631FF"/>
    <w:rsid w:val="7A715CD2"/>
    <w:rsid w:val="7F1E5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b/>
      <w:bCs/>
      <w:kern w:val="0"/>
      <w:sz w:val="36"/>
      <w:szCs w:val="36"/>
    </w:rPr>
  </w:style>
  <w:style w:type="paragraph" w:styleId="3">
    <w:name w:val="heading 3"/>
    <w:basedOn w:val="1"/>
    <w:next w:val="1"/>
    <w:link w:val="18"/>
    <w:qFormat/>
    <w:uiPriority w:val="9"/>
    <w:pPr>
      <w:keepNext/>
      <w:keepLines/>
      <w:spacing w:before="60" w:after="60"/>
      <w:outlineLvl w:val="2"/>
    </w:pPr>
    <w:rPr>
      <w:rFonts w:ascii="Calibri" w:hAnsi="Calibri"/>
      <w:b/>
      <w:bCs/>
      <w:szCs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23"/>
    <w:qFormat/>
    <w:uiPriority w:val="0"/>
    <w:pPr>
      <w:ind w:left="100" w:leftChars="2500"/>
    </w:pPr>
  </w:style>
  <w:style w:type="paragraph" w:styleId="5">
    <w:name w:val="Body Text Indent 2"/>
    <w:basedOn w:val="1"/>
    <w:link w:val="22"/>
    <w:qFormat/>
    <w:uiPriority w:val="0"/>
    <w:pPr>
      <w:spacing w:after="120" w:line="480" w:lineRule="auto"/>
      <w:ind w:left="420" w:leftChars="200"/>
    </w:pPr>
  </w:style>
  <w:style w:type="paragraph" w:styleId="6">
    <w:name w:val="Balloon Text"/>
    <w:basedOn w:val="1"/>
    <w:link w:val="30"/>
    <w:qFormat/>
    <w:uiPriority w:val="0"/>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6"/>
    <w:unhideWhenUsed/>
    <w:qFormat/>
    <w:uiPriority w:val="99"/>
    <w:pPr>
      <w:tabs>
        <w:tab w:val="center" w:pos="4153"/>
        <w:tab w:val="right" w:pos="8306"/>
      </w:tabs>
      <w:snapToGrid w:val="0"/>
      <w:jc w:val="center"/>
    </w:pPr>
    <w:rPr>
      <w:sz w:val="18"/>
      <w:szCs w:val="18"/>
    </w:rPr>
  </w:style>
  <w:style w:type="paragraph" w:styleId="9">
    <w:name w:val="Body Text Indent 3"/>
    <w:basedOn w:val="1"/>
    <w:link w:val="20"/>
    <w:qFormat/>
    <w:uiPriority w:val="0"/>
    <w:pPr>
      <w:adjustRightInd w:val="0"/>
      <w:spacing w:line="360" w:lineRule="auto"/>
      <w:ind w:firstLine="570"/>
      <w:textAlignment w:val="baseline"/>
    </w:pPr>
    <w:rPr>
      <w:rFonts w:ascii="宋体"/>
      <w:kern w:val="0"/>
      <w:sz w:val="24"/>
      <w:szCs w:val="20"/>
    </w:rPr>
  </w:style>
  <w:style w:type="paragraph" w:styleId="10">
    <w:name w:val="HTML Preformatted"/>
    <w:basedOn w:val="1"/>
    <w:link w:val="2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12">
    <w:name w:val="Table Grid"/>
    <w:basedOn w:val="11"/>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qFormat/>
    <w:uiPriority w:val="0"/>
    <w:rPr>
      <w:color w:val="0000FF"/>
      <w:u w:val="single"/>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0"/>
    <w:rPr>
      <w:sz w:val="18"/>
      <w:szCs w:val="18"/>
    </w:rPr>
  </w:style>
  <w:style w:type="character" w:customStyle="1" w:styleId="18">
    <w:name w:val="标题 3 字符"/>
    <w:basedOn w:val="13"/>
    <w:link w:val="3"/>
    <w:qFormat/>
    <w:uiPriority w:val="9"/>
    <w:rPr>
      <w:rFonts w:ascii="Calibri" w:hAnsi="Calibri" w:eastAsia="宋体" w:cs="Times New Roman"/>
      <w:b/>
      <w:bCs/>
      <w:szCs w:val="32"/>
      <w14:ligatures w14:val="none"/>
    </w:rPr>
  </w:style>
  <w:style w:type="character" w:customStyle="1" w:styleId="19">
    <w:name w:val="da"/>
    <w:basedOn w:val="13"/>
    <w:qFormat/>
    <w:uiPriority w:val="0"/>
  </w:style>
  <w:style w:type="character" w:customStyle="1" w:styleId="20">
    <w:name w:val="正文文本缩进 3 字符"/>
    <w:basedOn w:val="13"/>
    <w:link w:val="9"/>
    <w:qFormat/>
    <w:uiPriority w:val="0"/>
    <w:rPr>
      <w:rFonts w:ascii="宋体" w:hAnsi="Times New Roman" w:eastAsia="宋体" w:cs="Times New Roman"/>
      <w:kern w:val="0"/>
      <w:sz w:val="24"/>
      <w:szCs w:val="20"/>
      <w14:ligatures w14:val="none"/>
    </w:rPr>
  </w:style>
  <w:style w:type="character" w:customStyle="1" w:styleId="21">
    <w:name w:val="批注框文本 字符"/>
    <w:basedOn w:val="13"/>
    <w:semiHidden/>
    <w:qFormat/>
    <w:uiPriority w:val="99"/>
    <w:rPr>
      <w:rFonts w:ascii="Times New Roman" w:hAnsi="Times New Roman" w:eastAsia="宋体" w:cs="Times New Roman"/>
      <w:sz w:val="18"/>
      <w:szCs w:val="18"/>
      <w14:ligatures w14:val="none"/>
    </w:rPr>
  </w:style>
  <w:style w:type="character" w:customStyle="1" w:styleId="22">
    <w:name w:val="正文文本缩进 2 字符"/>
    <w:basedOn w:val="13"/>
    <w:link w:val="5"/>
    <w:qFormat/>
    <w:uiPriority w:val="0"/>
    <w:rPr>
      <w:rFonts w:ascii="Times New Roman" w:hAnsi="Times New Roman" w:eastAsia="宋体" w:cs="Times New Roman"/>
      <w:szCs w:val="24"/>
      <w14:ligatures w14:val="none"/>
    </w:rPr>
  </w:style>
  <w:style w:type="character" w:customStyle="1" w:styleId="23">
    <w:name w:val="日期 字符"/>
    <w:basedOn w:val="13"/>
    <w:link w:val="4"/>
    <w:qFormat/>
    <w:uiPriority w:val="0"/>
    <w:rPr>
      <w:rFonts w:ascii="Times New Roman" w:hAnsi="Times New Roman" w:eastAsia="宋体" w:cs="Times New Roman"/>
      <w:szCs w:val="24"/>
      <w14:ligatures w14:val="none"/>
    </w:rPr>
  </w:style>
  <w:style w:type="character" w:customStyle="1" w:styleId="24">
    <w:name w:val="HTML 预设格式 字符"/>
    <w:basedOn w:val="13"/>
    <w:link w:val="10"/>
    <w:qFormat/>
    <w:uiPriority w:val="0"/>
    <w:rPr>
      <w:rFonts w:ascii="宋体" w:hAnsi="宋体" w:eastAsia="宋体" w:cs="宋体"/>
      <w:kern w:val="0"/>
      <w:sz w:val="24"/>
      <w:szCs w:val="24"/>
      <w14:ligatures w14:val="none"/>
    </w:rPr>
  </w:style>
  <w:style w:type="paragraph" w:customStyle="1" w:styleId="25">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7">
    <w:name w:val="Char1"/>
    <w:basedOn w:val="1"/>
    <w:qFormat/>
    <w:uiPriority w:val="0"/>
    <w:pPr>
      <w:widowControl/>
      <w:spacing w:after="160" w:line="240" w:lineRule="exact"/>
      <w:jc w:val="left"/>
    </w:pPr>
    <w:rPr>
      <w:rFonts w:ascii="Verdana" w:hAnsi="Verdana" w:cs="宋体"/>
      <w:kern w:val="0"/>
      <w:sz w:val="20"/>
      <w:szCs w:val="20"/>
      <w:lang w:eastAsia="en-US"/>
    </w:rPr>
  </w:style>
  <w:style w:type="paragraph" w:customStyle="1" w:styleId="28">
    <w:name w:val="_Style 26"/>
    <w:basedOn w:val="1"/>
    <w:next w:val="29"/>
    <w:qFormat/>
    <w:uiPriority w:val="34"/>
    <w:pPr>
      <w:ind w:firstLine="420" w:firstLineChars="200"/>
    </w:pPr>
    <w:rPr>
      <w:rFonts w:ascii="Calibri" w:hAnsi="Calibri"/>
      <w:szCs w:val="22"/>
    </w:rPr>
  </w:style>
  <w:style w:type="paragraph" w:styleId="29">
    <w:name w:val="List Paragraph"/>
    <w:basedOn w:val="1"/>
    <w:qFormat/>
    <w:uiPriority w:val="34"/>
    <w:pPr>
      <w:ind w:firstLine="420" w:firstLineChars="200"/>
    </w:pPr>
  </w:style>
  <w:style w:type="character" w:customStyle="1" w:styleId="30">
    <w:name w:val="批注框文本 字符1"/>
    <w:link w:val="6"/>
    <w:qFormat/>
    <w:uiPriority w:val="0"/>
    <w:rPr>
      <w:rFonts w:ascii="Times New Roman" w:hAnsi="Times New Roman" w:eastAsia="宋体" w:cs="Times New Roman"/>
      <w:sz w:val="18"/>
      <w:szCs w:val="18"/>
      <w14:ligatures w14:val="none"/>
    </w:rPr>
  </w:style>
  <w:style w:type="character" w:customStyle="1" w:styleId="31">
    <w:name w:val="font11"/>
    <w:basedOn w:val="13"/>
    <w:qFormat/>
    <w:uiPriority w:val="0"/>
    <w:rPr>
      <w:rFonts w:hint="eastAsia" w:ascii="宋体" w:hAnsi="宋体" w:eastAsia="宋体" w:cs="宋体"/>
      <w:color w:val="000000"/>
      <w:sz w:val="21"/>
      <w:szCs w:val="21"/>
      <w:u w:val="none"/>
    </w:rPr>
  </w:style>
  <w:style w:type="paragraph" w:customStyle="1" w:styleId="32">
    <w:name w:val="Normal_2fabd693-bb76-4844-92b8-12dbb4079661"/>
    <w:next w:val="1"/>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3fbadd7-ea1d-4215-ac89-791d005a3441}"/>
        <w:style w:val=""/>
        <w:category>
          <w:name w:val="常规"/>
          <w:gallery w:val="placeholder"/>
        </w:category>
        <w:types>
          <w:type w:val="bbPlcHdr"/>
        </w:types>
        <w:behaviors>
          <w:behavior w:val="content"/>
        </w:behaviors>
        <w:description w:val=""/>
        <w:guid w:val="{E3FBADD7-EA1D-4215-AC89-791D005A3441}"/>
      </w:docPartPr>
      <w:docPartBody>
        <w:p w14:paraId="71F540FA">
          <w:pPr>
            <w:pStyle w:val="4"/>
            <w:rPr>
              <w:rFonts w:hint="eastAsia"/>
            </w:rPr>
          </w:pPr>
          <w:r>
            <w:rPr>
              <w:rStyle w:val="5"/>
              <w:rFonts w:hint="eastAsia"/>
              <w:color w:val="333399"/>
              <w:u w:val="single"/>
            </w:rPr>
            <w:t>　　　</w:t>
          </w:r>
        </w:p>
      </w:docPartBody>
    </w:docPart>
    <w:docPart>
      <w:docPartPr>
        <w:name w:val="{6bf917db-c29b-4ce4-9362-ab40e0727ab1}"/>
        <w:style w:val=""/>
        <w:category>
          <w:name w:val="常规"/>
          <w:gallery w:val="placeholder"/>
        </w:category>
        <w:types>
          <w:type w:val="bbPlcHdr"/>
        </w:types>
        <w:behaviors>
          <w:behavior w:val="content"/>
        </w:behaviors>
        <w:description w:val=""/>
        <w:guid w:val="{6BF917DB-C29B-4CE4-9362-AB40E0727AB1}"/>
      </w:docPartPr>
      <w:docPartBody>
        <w:p w14:paraId="0CD1C9BB">
          <w:pPr>
            <w:pStyle w:val="6"/>
            <w:rPr>
              <w:rFonts w:hint="eastAsia"/>
            </w:rPr>
          </w:pPr>
          <w:r>
            <w:rPr>
              <w:rStyle w:val="5"/>
              <w:rFonts w:hint="eastAsia"/>
              <w:color w:val="333399"/>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2B7"/>
    <w:rsid w:val="002042B7"/>
    <w:rsid w:val="004155F5"/>
    <w:rsid w:val="006F1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E75C6D1BF15F4C42A18227F19A85804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styleId="5">
    <w:name w:val="Placeholder Text"/>
    <w:basedOn w:val="2"/>
    <w:semiHidden/>
    <w:qFormat/>
    <w:uiPriority w:val="99"/>
  </w:style>
  <w:style w:type="paragraph" w:customStyle="1" w:styleId="6">
    <w:name w:val="EC1DD95B23744710914EC9D4CB8D7E0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7677a9dd-5440-40bf-8595-74734cc36d61</errorID>
      <errorWord>二○二六</errorWord>
      <group>L1_Knowledge</group>
      <groupName>知识性问题</groupName>
      <ability>L2_Knowledge</ability>
      <abilityName>其他知识</abilityName>
      <candidateList>
        <item>二〇二六</item>
      </candidateList>
      <explain/>
      <paraID> 9560494</paraID>
      <start>0</start>
      <end>4</end>
      <status>unmodified</status>
      <modifiedWord/>
      <trackRevisions>false</trackRevisions>
    </reviewItem>
    <reviewItem>
      <errorID>0966c56a-e383-41f8-8be1-dcbb707f0fe2</errorID>
      <errorWord>报告</errorWord>
      <group>L1_Grammar</group>
      <groupName>语法问题</groupName>
      <ability>L2_Grammar</ability>
      <abilityName>语法错误</abilityName>
      <candidateList>
        <item>报告的议案</item>
      </candidateList>
      <explain/>
      <paraID>43BC6FF9</paraID>
      <start>17</start>
      <end>19</end>
      <status>unmodified</status>
      <modifiedWord/>
      <trackRevisions>false</trackRevisions>
    </reviewItem>
    <reviewItem>
      <errorID>55b12db7-6142-4a24-9f67-d0e781b6375c</errorID>
      <errorWord>方案</errorWord>
      <group>L1_Grammar</group>
      <groupName>语法问题</groupName>
      <ability>L2_Grammar</ability>
      <abilityName>语法错误</abilityName>
      <candidateList>
        <item>方案的议案</item>
      </candidateList>
      <explain/>
      <paraID>745A64A6</paraID>
      <start>15</start>
      <end>17</end>
      <status>unmodified</status>
      <modifiedWord/>
      <trackRevisions>false</trackRevisions>
    </reviewItem>
    <reviewItem>
      <errorID>661ad3e6-4288-4ccf-a2f0-98fefbc9b8dc</errorID>
      <errorWord> </errorWord>
      <group>L1_Punc</group>
      <groupName>标点问题</groupName>
      <ability>L2_Punc</ability>
      <abilityName>标点符号检查</abilityName>
      <candidateList>
        <item/>
      </candidateList>
      <explain>此处空格冗余，建议删除。</explain>
      <paraID>6A98E187</paraID>
      <start>25</start>
      <end>26</end>
      <status>unmodified</status>
      <modifiedWord/>
      <trackRevisions>false</trackRevisions>
    </reviewItem>
    <reviewItem>
      <errorID>9ea165e5-a312-4aa5-a14b-1869435f94f5</errorID>
      <errorWord> </errorWord>
      <group>L1_Punc</group>
      <groupName>标点问题</groupName>
      <ability>L2_Punc</ability>
      <abilityName>标点符号检查</abilityName>
      <candidateList>
        <item/>
      </candidateList>
      <explain>此处空格冗余，建议删除。</explain>
      <paraID>6A98E187</paraID>
      <start>30</start>
      <end>31</end>
      <status>unmodified</status>
      <modifiedWord/>
      <trackRevisions>false</trackRevisions>
    </reviewItem>
    <reviewItem>
      <errorID>69185a47-b517-4ffa-ade5-519b080d83a7</errorID>
      <errorWord>的</errorWord>
      <group>L1_Grammar</group>
      <groupName>语法问题</groupName>
      <ability>L2_Grammar</ability>
      <abilityName>语法错误</abilityName>
      <candidateList>
        <item>的议案的</item>
      </candidateList>
      <explain/>
      <paraID>2B5D934D</paraID>
      <start>20</start>
      <end>21</end>
      <status>unmodified</status>
      <modifiedWord/>
      <trackRevisions>false</trackRevisions>
    </reviewItem>
    <reviewItem>
      <errorID>7e4eb362-98b3-40ee-acbb-308070f77a9b</errorID>
      <errorWord>的</errorWord>
      <group>L1_Grammar</group>
      <groupName>语法问题</groupName>
      <ability>L2_Grammar</ability>
      <abilityName>语法错误</abilityName>
      <candidateList>
        <item>的议案的</item>
      </candidateList>
      <explain/>
      <paraID>63FF310A</paraID>
      <start>12</start>
      <end>13</end>
      <status>unmodified</status>
      <modifiedWord/>
      <trackRevisions>false</trackRevisions>
    </reviewItem>
    <reviewItem>
      <errorID>c05e13a3-0966-4b8f-a8cd-61c1e3d7ee92</errorID>
      <errorWord>的</errorWord>
      <group>L1_Grammar</group>
      <groupName>语法问题</groupName>
      <ability>L2_Grammar</ability>
      <abilityName>语法错误</abilityName>
      <candidateList>
        <item>的议案的</item>
      </candidateList>
      <explain/>
      <paraID>3BF7C38C</paraID>
      <start>7</start>
      <end>8</end>
      <status>unmodified</status>
      <modifiedWord/>
      <trackRevisions>false</trackRevisions>
    </reviewItem>
    <reviewItem>
      <errorID>abf6b845-42a8-4d6b-9eb3-2bb65d2fcff3</errorID>
      <errorWord>的</errorWord>
      <group>L1_Grammar</group>
      <groupName>语法问题</groupName>
      <ability>L2_Grammar</ability>
      <abilityName>语法错误</abilityName>
      <candidateList>
        <item>的议案的</item>
      </candidateList>
      <explain/>
      <paraID>72E69093</paraID>
      <start>9</start>
      <end>10</end>
      <status>unmodified</status>
      <modifiedWord/>
      <trackRevisions>false</trackRevisions>
    </reviewItem>
    <reviewItem>
      <errorID>7724d00d-5603-4ffd-b1ae-19a31ab9fee3</errorID>
      <errorWord>*</errorWord>
      <group>L1_Punc</group>
      <groupName>标点问题</groupName>
      <ability>L2_Punc</ability>
      <abilityName>标点符号检查</abilityName>
      <candidateList/>
      <explain/>
      <paraID>3400C2F2</paraID>
      <start>0</start>
      <end>1</end>
      <status>unmodified</status>
      <modifiedWord/>
      <trackRevisions>false</trackRevisions>
    </reviewItem>
    <reviewItem>
      <errorID>c3c8cb75-897f-4673-a474-bc6841454062</errorID>
      <errorWord>*</errorWord>
      <group>L1_Punc</group>
      <groupName>标点问题</groupName>
      <ability>L2_Punc</ability>
      <abilityName>标点符号检查</abilityName>
      <candidateList/>
      <explain/>
      <paraID>1C439A01</paraID>
      <start>0</start>
      <end>1</end>
      <status>unmodified</status>
      <modifiedWord/>
      <trackRevisions>false</trackRevisions>
    </reviewItem>
    <reviewItem>
      <errorID>098e38f7-ab4c-4d21-b0b2-2c9f9eba46a6</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104ABDAC</paraID>
      <start>33</start>
      <end>36</end>
      <status>unmodified</status>
      <modifiedWord/>
      <trackRevisions>false</trackRevisions>
    </reviewItem>
    <reviewItem>
      <errorID>88bb9375-2c70-4c59-ab47-6e854ecb1557</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104ABDAC</paraID>
      <start>38</start>
      <end>41</end>
      <status>unmodified</status>
      <modifiedWord/>
      <trackRevisions>false</trackRevisions>
    </reviewItem>
    <reviewItem>
      <errorID>ccc4fdc8-4d90-499f-98b9-8e038559e469</errorID>
      <errorWord> </errorWord>
      <group>L1_Punc</group>
      <groupName>标点问题</groupName>
      <ability>L2_Punc</ability>
      <abilityName>标点符号检查</abilityName>
      <candidateList>
        <item/>
      </candidateList>
      <explain>此处空格冗余，建议删除。</explain>
      <paraID>4A23F4CF</paraID>
      <start>4</start>
      <end>5</end>
      <status>unmodified</status>
      <modifiedWord/>
      <trackRevisions>false</trackRevisions>
    </reviewItem>
    <reviewItem>
      <errorID>f0a41960-86c5-4614-ae97-7d15f33efa28</errorID>
      <errorWord>紧迫意识</errorWord>
      <group>L1_Word</group>
      <groupName>字词问题</groupName>
      <ability>L2_Typo</ability>
      <abilityName>字词错误</abilityName>
      <candidateList>
        <item>紧迫感</item>
      </candidateList>
      <explain/>
      <paraID>4A23F4CF</paraID>
      <start>84</start>
      <end>88</end>
      <status>unmodified</status>
      <modifiedWord/>
      <trackRevisions>false</trackRevisions>
    </reviewItem>
    <reviewItem>
      <errorID>3ceb87ed-8229-4a80-9af9-4cba7a71f63b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62A94820</paraID>
      <start>0</start>
      <end>2</end>
      <status>unmodified</status>
      <modifiedWord/>
      <trackRevisions>false</trackRevisions>
    </reviewItem>
    <reviewItem>
      <errorID>54bc0f03-cbea-418f-938e-dd9beab04e41</errorID>
      <errorWord> </errorWord>
      <group>L1_Punc</group>
      <groupName>标点问题</groupName>
      <ability>L2_Punc</ability>
      <abilityName>标点符号检查</abilityName>
      <candidateList>
        <item/>
      </candidateList>
      <explain>此处空格冗余，建议删除。</explain>
      <paraID>2EADB64E</paraID>
      <start>4</start>
      <end>5</end>
      <status>unmodified</status>
      <modifiedWord/>
      <trackRevisions>false</trackRevisions>
    </reviewItem>
    <reviewItem>
      <errorID>eb4971fe-2c50-4a48-abed-f88a69acefd8</errorID>
      <errorWord> </errorWord>
      <group>L1_Punc</group>
      <groupName>标点问题</groupName>
      <ability>L2_Punc</ability>
      <abilityName>标点符号检查</abilityName>
      <candidateList>
        <item/>
      </candidateList>
      <explain>此处空格冗余，建议删除。</explain>
      <paraID>2EADB64E</paraID>
      <start>49</start>
      <end>50</end>
      <status>unmodified</status>
      <modifiedWord/>
      <trackRevisions>false</trackRevisions>
    </reviewItem>
    <reviewItem>
      <errorID>5301a7fa-8290-4599-bcd5-d5de6fe24a68</errorID>
      <errorWord> </errorWord>
      <group>L1_Punc</group>
      <groupName>标点问题</groupName>
      <ability>L2_Punc</ability>
      <abilityName>标点符号检查</abilityName>
      <candidateList>
        <item/>
      </candidateList>
      <explain>此处空格冗余，建议删除。</explain>
      <paraID>2EADB64E</paraID>
      <start>56</start>
      <end>57</end>
      <status>unmodified</status>
      <modifiedWord/>
      <trackRevisions>false</trackRevisions>
    </reviewItem>
    <reviewItem>
      <errorID>4e9757a6-0df8-48ca-8c20-c9993415e6d3</errorID>
      <errorWord>坚决做到 “两个维护”</errorWord>
      <group>L1_Word</group>
      <groupName>字词问题</groupName>
      <ability>L2_Typo</ability>
      <abilityName>字词错误</abilityName>
      <candidateList>
        <item>坚决做到“两个维护”</item>
      </candidateList>
      <explain/>
      <paraID>2EADB64E</paraID>
      <start>64</start>
      <end>75</end>
      <status>unmodified</status>
      <modifiedWord/>
      <trackRevisions>false</trackRevisions>
    </reviewItem>
    <reviewItem>
      <errorID>a28796c9-35f4-4949-82ed-db67456468a5</errorID>
      <errorWord>党的领导</errorWord>
      <group>L1_Word</group>
      <groupName>字词问题</groupName>
      <ability>L2_Typo</ability>
      <abilityName>字词错误</abilityName>
      <candidateList>
        <item>把党的领导</item>
      </candidateList>
      <explain/>
      <paraID>3F238FDC</paraID>
      <start>4</start>
      <end>8</end>
      <status>unmodified</status>
      <modifiedWord/>
      <trackRevisions>false</trackRevisions>
    </reviewItem>
    <reviewItem>
      <errorID>6a46b209-bf00-41e9-a016-8d652d295011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2568D7B3</paraID>
      <start>0</start>
      <end>2</end>
      <status>unmodified</status>
      <modifiedWord/>
      <trackRevisions>false</trackRevisions>
    </reviewItem>
    <reviewItem>
      <errorID>7c1882c3-87c3-48da-892a-7e662df556b5</errorID>
      <errorWord>水体</errorWord>
      <group>L1_Punc</group>
      <groupName>标点问题</groupName>
      <ability>L2_Punc</ability>
      <abilityName>标点符号检查</abilityName>
      <candidateList>
        <item>，水体</item>
      </candidateList>
      <explain/>
      <paraID>7E2BC78A</paraID>
      <start>182</start>
      <end>184</end>
      <status>unmodified</status>
      <modifiedWord/>
      <trackRevisions>false</trackRevisions>
    </reviewItem>
    <reviewItem>
      <errorID>8fd1c05e-77cf-439b-8a09-167ff6306781</errorID>
      <errorWord>年</errorWord>
      <group>L1_Word</group>
      <groupName>字词问题</groupName>
      <ability>L2_Typo</ability>
      <abilityName>字词错误</abilityName>
      <candidateList>
        <item>次</item>
      </candidateList>
      <explain/>
      <paraID>7C34A03C</paraID>
      <start>229</start>
      <end>230</end>
      <status>unmodified</status>
      <modifiedWord/>
      <trackRevisions>false</trackRevisions>
    </reviewItem>
    <reviewItem>
      <errorID>e7bdb171-7813-4e58-a59e-733121eb1f2d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42FDD10B</paraID>
      <start>0</start>
      <end>2</end>
      <status>unmodified</status>
      <modifiedWord/>
      <trackRevisions>false</trackRevisions>
    </reviewItem>
    <reviewItem>
      <errorID>4da4fa65-757a-43c2-b18e-d5bb6fb6b35d</errorID>
      <errorWord>传统</errorWord>
      <group>L1_Word</group>
      <groupName>字词问题</groupName>
      <ability>L2_Typo</ability>
      <abilityName>字词错误</abilityName>
      <candidateList>
        <item>的传统</item>
      </candidateList>
      <explain/>
      <paraID>424AC133</paraID>
      <start>8</start>
      <end>10</end>
      <status>unmodified</status>
      <modifiedWord/>
      <trackRevisions>false</trackRevisions>
    </reviewItem>
    <reviewItem>
      <errorID>6d4e177d-14bc-4575-a4a3-8613bfc254dd</errorID>
      <errorWord>公司</errorWord>
      <group>L1_Punc</group>
      <groupName>标点问题</groupName>
      <ability>L2_Punc</ability>
      <abilityName>标点符号检查</abilityName>
      <candidateList>
        <item>，公司</item>
      </candidateList>
      <explain/>
      <paraID>11CDF65C</paraID>
      <start>100</start>
      <end>102</end>
      <status>unmodified</status>
      <modifiedWord/>
      <trackRevisions>false</trackRevisions>
    </reviewItem>
    <reviewItem>
      <errorID>df9a0e12-739c-473b-99cb-d40191890963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434BD076</paraID>
      <start>0</start>
      <end>2</end>
      <status>unmodified</status>
      <modifiedWord/>
      <trackRevisions>false</trackRevisions>
    </reviewItem>
    <reviewItem>
      <errorID>ea2d49e8-d4a9-41de-b4eb-60a19b3b5761</errorID>
      <errorWord>覆盖</errorWord>
      <group>L1_Word</group>
      <groupName>字词问题</groupName>
      <ability>L2_Typo</ability>
      <abilityName>字词错误</abilityName>
      <candidateList>
        <item>覆盖率</item>
      </candidateList>
      <explain/>
      <paraID> 506B449</paraID>
      <start>91</start>
      <end>93</end>
      <status>unmodified</status>
      <modifiedWord/>
      <trackRevisions>false</trackRevisions>
    </reviewItem>
    <reviewItem>
      <errorID>19b01b4b-cb19-4b48-b46b-23c45ed8d723</errorID>
      <errorWord>“双碳”战略</errorWord>
      <group>L1_Word</group>
      <groupName>字词问题</groupName>
      <ability>L2_Typo</ability>
      <abilityName>字词错误</abilityName>
      <candidateList>
        <item>“双碳”目标</item>
      </candidateList>
      <explain/>
      <paraID>2F2D08F0</paraID>
      <start>51</start>
      <end>57</end>
      <status>unmodified</status>
      <modifiedWord/>
      <trackRevisions>false</trackRevisions>
    </reviewItem>
    <reviewItem>
      <errorID>3708cea6-bfc9-4cb3-a577-8dab327ab975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24013C98</paraID>
      <start>0</start>
      <end>2</end>
      <status>unmodified</status>
      <modifiedWord/>
      <trackRevisions>false</trackRevisions>
    </reviewItem>
    <reviewItem>
      <errorID>5c2cba18-d4bd-429b-b016-68742bc57f1a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6641B19B</paraID>
      <start>0</start>
      <end>2</end>
      <status>unmodified</status>
      <modifiedWord/>
      <trackRevisions>false</trackRevisions>
    </reviewItem>
    <reviewItem>
      <errorID>a6a2f5e7-d230-45c6-9982-ecfb54116078</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7AE8AADC</paraID>
      <start>49</start>
      <end>52</end>
      <status>unmodified</status>
      <modifiedWord/>
      <trackRevisions>false</trackRevisions>
    </reviewItem>
    <reviewItem>
      <errorID>4a5cedd4-5010-48de-995c-4b0516190a8b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69BCE4D4</paraID>
      <start>0</start>
      <end>2</end>
      <status>unmodified</status>
      <modifiedWord/>
      <trackRevisions>false</trackRevisions>
    </reviewItem>
    <reviewItem>
      <errorID>698724b4-048a-4924-b585-12ad192dacaf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EA38F08</paraID>
      <start>0</start>
      <end>2</end>
      <status>unmodified</status>
      <modifiedWord/>
      <trackRevisions>false</trackRevisions>
    </reviewItem>
    <reviewItem>
      <errorID>7d4e0a89-560a-41e9-a9e3-037a5644714d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33B2DC9B</paraID>
      <start>0</start>
      <end>2</end>
      <status>unmodified</status>
      <modifiedWord/>
      <trackRevisions>false</trackRevisions>
    </reviewItem>
    <reviewItem>
      <errorID>5e58d075-221d-4089-a5d3-c7dfdda2e1aa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53571D71</paraID>
      <start>0</start>
      <end>2</end>
      <status>unmodified</status>
      <modifiedWord/>
      <trackRevisions>false</trackRevisions>
    </reviewItem>
    <reviewItem>
      <errorID>2e66be41-55b8-4ccb-9aff-e8f8f7585ffc</errorID>
      <errorWord>股东大会</errorWord>
      <group>L1_Word</group>
      <groupName>字词问题</groupName>
      <ability>L2_Typo</ability>
      <abilityName>字词错误</abilityName>
      <candidateList>
        <item>股东会</item>
      </candidateList>
      <explain/>
      <paraID>53571D71</paraID>
      <start>25</start>
      <end>29</end>
      <status>unmodified</status>
      <modifiedWord/>
      <trackRevisions>false</trackRevisions>
    </reviewItem>
    <reviewItem>
      <errorID>09b6dac1-5f19-4151-be20-e6bf4d7f90c9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17B05E1F</paraID>
      <start>0</start>
      <end>2</end>
      <status>unmodified</status>
      <modifiedWord/>
      <trackRevisions>false</trackRevisions>
    </reviewItem>
    <reviewItem>
      <errorID>ecfc1aae-38a7-43a9-85cc-6ad23f13e2cc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6417833B</paraID>
      <start>0</start>
      <end>2</end>
      <status>unmodified</status>
      <modifiedWord/>
      <trackRevisions>false</trackRevisions>
    </reviewItem>
    <reviewItem>
      <errorID>34a256c7-4f4a-4023-b85e-56f9296ceee1</errorID>
      <errorWord>股东大会</errorWord>
      <group>L1_Word</group>
      <groupName>字词问题</groupName>
      <ability>L2_Typo</ability>
      <abilityName>字词错误</abilityName>
      <candidateList>
        <item>股东会</item>
      </candidateList>
      <explain/>
      <paraID>6417833B</paraID>
      <start>12</start>
      <end>16</end>
      <status>unmodified</status>
      <modifiedWord/>
      <trackRevisions>false</trackRevisions>
    </reviewItem>
    <reviewItem>
      <errorID>534332f5-f062-47a9-a4c1-755d9eda9016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75126292</paraID>
      <start>0</start>
      <end>2</end>
      <status>unmodified</status>
      <modifiedWord/>
      <trackRevisions>false</trackRevisions>
    </reviewItem>
    <reviewItem>
      <errorID>ebddb955-5535-4476-8129-e66488fb3053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5D5C69B5</paraID>
      <start>0</start>
      <end>2</end>
      <status>unmodified</status>
      <modifiedWord/>
      <trackRevisions>false</trackRevisions>
    </reviewItem>
    <reviewItem>
      <errorID>4e080e76-9349-4350-b0e8-bc2e492176e0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3D502988</paraID>
      <start>0</start>
      <end>2</end>
      <status>unmodified</status>
      <modifiedWord/>
      <trackRevisions>false</trackRevisions>
    </reviewItem>
    <reviewItem>
      <errorID>634977b4-a194-4065-9760-f930183c8c17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47562C02</paraID>
      <start>0</start>
      <end>3</end>
      <status>unmodified</status>
      <modifiedWord/>
      <trackRevisions>false</trackRevisions>
    </reviewItem>
    <reviewItem>
      <errorID>334c98c0-4e3d-49cb-94e6-0ffa8234ec06</errorID>
      <errorWord>委员议</errorWord>
      <group>L1_Word</group>
      <groupName>字词问题</groupName>
      <ability>L2_Typo</ability>
      <abilityName>字词错误</abilityName>
      <candidateList>
        <item>委员</item>
      </candidateList>
      <explain/>
      <paraID>47562C02</paraID>
      <start>33</start>
      <end>36</end>
      <status>unmodified</status>
      <modifiedWord/>
      <trackRevisions>false</trackRevisions>
    </reviewItem>
    <reviewItem>
      <errorID>6ba5bf0b-d083-4ff2-a41b-8aa570c174fd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4FE32E41</paraID>
      <start>0</start>
      <end>3</end>
      <status>unmodified</status>
      <modifiedWord/>
      <trackRevisions>false</trackRevisions>
    </reviewItem>
    <reviewItem>
      <errorID>aec42c36-4794-48b7-9115-664aedbbdf8b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5972522C</paraID>
      <start>0</start>
      <end>3</end>
      <status>unmodified</status>
      <modifiedWord/>
      <trackRevisions>false</trackRevisions>
    </reviewItem>
    <reviewItem>
      <errorID>208ccd62-82a2-4969-a271-6a959cf2ce46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11C744AB</paraID>
      <start>0</start>
      <end>3</end>
      <status>unmodified</status>
      <modifiedWord/>
      <trackRevisions>false</trackRevisions>
    </reviewItem>
    <reviewItem>
      <errorID>7bcb075c-d417-41eb-81a8-32db53ad7fad</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3E4FE20C</paraID>
      <start>0</start>
      <end>3</end>
      <status>unmodified</status>
      <modifiedWord/>
      <trackRevisions>false</trackRevisions>
    </reviewItem>
    <reviewItem>
      <errorID>d630f599-7383-4865-8c1d-21a9befc468a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63DB488</paraID>
      <start>0</start>
      <end>2</end>
      <status>unmodified</status>
      <modifiedWord/>
      <trackRevisions>false</trackRevisions>
    </reviewItem>
    <reviewItem>
      <errorID>fccab5fc-9938-4b4d-a3e6-fa1e98f9de8e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46C73D1A</paraID>
      <start>0</start>
      <end>2</end>
      <status>unmodified</status>
      <modifiedWord/>
      <trackRevisions>false</trackRevisions>
    </reviewItem>
    <reviewItem>
      <errorID>4e645d69-65bb-4fcb-84d1-d56bc791c32e</errorID>
      <errorWord>（</errorWord>
      <group>L1_Grammar</group>
      <groupName>语法问题</groupName>
      <ability>L2_Grammar</ability>
      <abilityName>语法错误</abilityName>
      <candidateList>
        <item>股东（</item>
      </candidateList>
      <explain/>
      <paraID>49742A1F</paraID>
      <start>28</start>
      <end>29</end>
      <status>unmodified</status>
      <modifiedWord/>
      <trackRevisions>false</trackRevisions>
    </reviewItem>
    <reviewItem>
      <errorID>bca9d372-1008-4484-8862-69f922a93aee</errorID>
      <errorWord>的</errorWord>
      <group>L1_Word</group>
      <groupName>字词问题</groupName>
      <ability>L2_Typo</ability>
      <abilityName>字词错误</abilityName>
      <candidateList>
        <item>会的</item>
      </candidateList>
      <explain/>
      <paraID>49742A1F</paraID>
      <start>31</start>
      <end>32</end>
      <status>unmodified</status>
      <modifiedWord/>
      <trackRevisions>false</trackRevisions>
    </reviewItem>
    <reviewItem>
      <errorID>322a1272-76cc-4729-bf9c-306fab375ab1</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49742A1F</paraID>
      <start>45</start>
      <end>48</end>
      <status>unmodified</status>
      <modifiedWord/>
      <trackRevisions>false</trackRevisions>
    </reviewItem>
    <reviewItem>
      <errorID>16186fa4-1828-474f-b472-69c24a45a073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5EFB8FCA</paraID>
      <start>0</start>
      <end>2</end>
      <status>unmodified</status>
      <modifiedWord/>
      <trackRevisions>false</trackRevisions>
    </reviewItem>
    <reviewItem>
      <errorID>b07b40c2-df46-448f-9a70-cc6705cdb00e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73C82CE5</paraID>
      <start>0</start>
      <end>2</end>
      <status>unmodified</status>
      <modifiedWord/>
      <trackRevisions>false</trackRevisions>
    </reviewItem>
    <reviewItem>
      <errorID>c6192845-4419-4934-84b6-5f8ce69ea418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616F3856</paraID>
      <start>0</start>
      <end>2</end>
      <status>unmodified</status>
      <modifiedWord/>
      <trackRevisions>false</trackRevisions>
    </reviewItem>
    <reviewItem>
      <errorID>56d41324-12f0-4eb2-a810-265856a274cc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2D131DC</paraID>
      <start>0</start>
      <end>2</end>
      <status>unmodified</status>
      <modifiedWord/>
      <trackRevisions>false</trackRevisions>
    </reviewItem>
    <reviewItem>
      <errorID>ce2d5934-6fdd-448a-a7c7-72e01546b29d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2E7266A4</paraID>
      <start>0</start>
      <end>2</end>
      <status>unmodified</status>
      <modifiedWord/>
      <trackRevisions>false</trackRevisions>
    </reviewItem>
    <reviewItem>
      <errorID>6415bc85-6cc6-4153-8b1a-09252b27039b</errorID>
      <errorWord>报告</errorWord>
      <group>L1_Grammar</group>
      <groupName>语法问题</groupName>
      <ability>L2_Grammar</ability>
      <abilityName>语法错误</abilityName>
      <candidateList>
        <item>报告的议案</item>
      </candidateList>
      <explain/>
      <paraID>2E7266A4</paraID>
      <start>18</start>
      <end>20</end>
      <status>unmodified</status>
      <modifiedWord/>
      <trackRevisions>false</trackRevisions>
    </reviewItem>
    <reviewItem>
      <errorID>d24a42aa-aa7d-4a14-94ee-607c7b916edf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DC7516A</paraID>
      <start>0</start>
      <end>2</end>
      <status>unmodified</status>
      <modifiedWord/>
      <trackRevisions>false</trackRevisions>
    </reviewItem>
    <reviewItem>
      <errorID>f475d2d0-31fe-46cb-bcff-a438f3395266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75D87160</paraID>
      <start>0</start>
      <end>2</end>
      <status>unmodified</status>
      <modifiedWord/>
      <trackRevisions>false</trackRevisions>
    </reviewItem>
    <reviewItem>
      <errorID>c53cf265-227c-4015-a9a8-1761ff64c2ef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26577DE9</paraID>
      <start>0</start>
      <end>2</end>
      <status>unmodified</status>
      <modifiedWord/>
      <trackRevisions>false</trackRevisions>
    </reviewItem>
    <reviewItem>
      <errorID>6d2e187d-216d-48f2-b705-c55b05002ac6</errorID>
      <errorWord>方案</errorWord>
      <group>L1_Grammar</group>
      <groupName>语法问题</groupName>
      <ability>L2_Grammar</ability>
      <abilityName>语法错误</abilityName>
      <candidateList>
        <item>方案的议案</item>
      </candidateList>
      <explain/>
      <paraID>26577DE9</paraID>
      <start>16</start>
      <end>18</end>
      <status>unmodified</status>
      <modifiedWord/>
      <trackRevisions>false</trackRevisions>
    </reviewItem>
    <reviewItem>
      <errorID>5e0f09ee-2aa7-43bc-a398-4d54bba0046d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3346F6DF</paraID>
      <start>0</start>
      <end>2</end>
      <status>unmodified</status>
      <modifiedWord/>
      <trackRevisions>false</trackRevisions>
    </reviewItem>
    <reviewItem>
      <errorID>c4185724-0e68-4ec1-81fa-7f6eb78be074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532FAC0</paraID>
      <start>0</start>
      <end>3</end>
      <status>unmodified</status>
      <modifiedWord/>
      <trackRevisions>false</trackRevisions>
    </reviewItem>
    <reviewItem>
      <errorID>2214865c-2b6a-4086-ad76-ac6605357717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FCA5C16</paraID>
      <start>0</start>
      <end>3</end>
      <status>unmodified</status>
      <modifiedWord/>
      <trackRevisions>false</trackRevisions>
    </reviewItem>
    <reviewItem>
      <errorID>40c93191-6edb-4079-8976-1718ce31a110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6DA4241B</paraID>
      <start>0</start>
      <end>3</end>
      <status>unmodified</status>
      <modifiedWord/>
      <trackRevisions>false</trackRevisions>
    </reviewItem>
    <reviewItem>
      <errorID>3b6fbb93-0414-4bf8-badd-684eb81cff54</errorID>
      <errorWord>。</errorWord>
      <group>L1_Punc</group>
      <groupName>标点问题</groupName>
      <ability>L2_Punc</ability>
      <abilityName>标点符号检查</abilityName>
      <candidateList>
        <item/>
      </candidateList>
      <explain/>
      <paraID>6DA4241B</paraID>
      <start>12</start>
      <end>13</end>
      <status>unmodified</status>
      <modifiedWord/>
      <trackRevisions>false</trackRevisions>
    </reviewItem>
    <reviewItem>
      <errorID>e74ce7b8-c1c0-4bc9-8c98-ddcc4521275e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717527C7</paraID>
      <start>0</start>
      <end>2</end>
      <status>unmodified</status>
      <modifiedWord/>
      <trackRevisions>false</trackRevisions>
    </reviewItem>
    <reviewItem>
      <errorID>22f00ae2-daa6-421b-bafa-70c391dd7de0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323904D1</paraID>
      <start>0</start>
      <end>2</end>
      <status>unmodified</status>
      <modifiedWord/>
      <trackRevisions>false</trackRevisions>
    </reviewItem>
    <reviewItem>
      <errorID>d3b9e34c-ba2d-41b0-84ce-b08b59e3b31c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5A8D4D68</paraID>
      <start>0</start>
      <end>2</end>
      <status>unmodified</status>
      <modifiedWord/>
      <trackRevisions>false</trackRevisions>
    </reviewItem>
    <reviewItem>
      <errorID>41f3f79d-69ac-4d02-bf9a-0758d5b8938c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2186B39A</paraID>
      <start>0</start>
      <end>2</end>
      <status>unmodified</status>
      <modifiedWord/>
      <trackRevisions>false</trackRevisions>
    </reviewItem>
    <reviewItem>
      <errorID>18b8340e-3a55-4770-903c-a414cbb518da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4A2A348E</paraID>
      <start>0</start>
      <end>2</end>
      <status>unmodified</status>
      <modifiedWord/>
      <trackRevisions>false</trackRevisions>
    </reviewItem>
    <reviewItem>
      <errorID>ebe9602e-f830-44ab-b3c2-b95e730d81b4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4E39DFAA</paraID>
      <start>0</start>
      <end>2</end>
      <status>unmodified</status>
      <modifiedWord/>
      <trackRevisions>false</trackRevisions>
    </reviewItem>
    <reviewItem>
      <errorID>b4ec36c3-f428-4bea-a3e5-dfd734c25383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7E2FE10E</paraID>
      <start>0</start>
      <end>2</end>
      <status>unmodified</status>
      <modifiedWord/>
      <trackRevisions>false</trackRevisions>
    </reviewItem>
    <reviewItem>
      <errorID>c2e58d89-5904-47f5-9610-3b527a15d7a1</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225A9A39</paraID>
      <start>14</start>
      <end>17</end>
      <status>unmodified</status>
      <modifiedWord/>
      <trackRevisions>false</trackRevisions>
    </reviewItem>
    <reviewItem>
      <errorID>f67fcd79-c1f6-46b0-b413-ace9309ca247</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5CD9E0FA</paraID>
      <start>9</start>
      <end>12</end>
      <status>unmodified</status>
      <modifiedWord/>
      <trackRevisions>false</trackRevisions>
    </reviewItem>
    <reviewItem>
      <errorID>d7d30f28-6ef0-4c1c-94cb-a269e4d97931</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5CD9E0FA</paraID>
      <start>14</start>
      <end>17</end>
      <status>unmodified</status>
      <modifiedWord/>
      <trackRevisions>false</trackRevisions>
    </reviewItem>
    <reviewItem>
      <errorID>f58eddbc-daaa-4433-8367-c778839f91ee</errorID>
      <errorWord>能</errorWord>
      <group>L1_Word</group>
      <groupName>字词问题</groupName>
      <ability>L2_Typo</ability>
      <abilityName>字词错误</abilityName>
      <candidateList>
        <item>能够</item>
      </candidateList>
      <explain/>
      <paraID>5CD9E0FA</paraID>
      <start>148</start>
      <end>149</end>
      <status>unmodified</status>
      <modifiedWord/>
      <trackRevisions>false</trackRevisions>
    </reviewItem>
    <reviewItem>
      <errorID>80aa0480-0c2f-41a3-802d-641299106aa1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7847AF5D</paraID>
      <start>0</start>
      <end>2</end>
      <status>unmodified</status>
      <modifiedWord/>
      <trackRevisions>false</trackRevisions>
    </reviewItem>
    <reviewItem>
      <errorID>db17971d-852e-4978-8da7-0f5d9ae379fe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752335D3</paraID>
      <start>0</start>
      <end>2</end>
      <status>unmodified</status>
      <modifiedWord/>
      <trackRevisions>false</trackRevisions>
    </reviewItem>
    <reviewItem>
      <errorID>7f7ce461-e5ec-4c31-9de8-56287903e422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5EDB9CA7</paraID>
      <start>0</start>
      <end>2</end>
      <status>unmodified</status>
      <modifiedWord/>
      <trackRevisions>false</trackRevisions>
    </reviewItem>
    <reviewItem>
      <errorID>2998c09b-3f02-4dc8-b2a3-5f606d5115f8</errorID>
      <errorWord>*</errorWord>
      <group>L1_Punc</group>
      <groupName>标点问题</groupName>
      <ability>L2_Punc</ability>
      <abilityName>标点符号检查</abilityName>
      <candidateList/>
      <explain/>
      <paraID>  F6F36D</paraID>
      <start>0</start>
      <end>1</end>
      <status>unmodified</status>
      <modifiedWord/>
      <trackRevisions>false</trackRevisions>
    </reviewItem>
    <reviewItem>
      <errorID>f1d224cb-1661-4d5e-b97a-227905d38990</errorID>
      <errorWord>*</errorWord>
      <group>L1_Punc</group>
      <groupName>标点问题</groupName>
      <ability>L2_Punc</ability>
      <abilityName>标点符号检查</abilityName>
      <candidateList/>
      <explain/>
      <paraID>1CE55E3D</paraID>
      <start>0</start>
      <end>1</end>
      <status>unmodified</status>
      <modifiedWord/>
      <trackRevisions>false</trackRevisions>
    </reviewItem>
    <reviewItem>
      <errorID>099972ca-6ce4-482e-a615-da0b99a6eb81</errorID>
      <errorWord>*</errorWord>
      <group>L1_Punc</group>
      <groupName>标点问题</groupName>
      <ability>L2_Punc</ability>
      <abilityName>标点符号检查</abilityName>
      <candidateList/>
      <explain/>
      <paraID>4D3C9F96</paraID>
      <start>0</start>
      <end>1</end>
      <status>unmodified</status>
      <modifiedWord/>
      <trackRevisions>false</trackRevisions>
    </reviewItem>
    <reviewItem>
      <errorID>d76e611c-491f-4dc2-9fed-2aa7aaae2b23</errorID>
      <errorWord>*</errorWord>
      <group>L1_Punc</group>
      <groupName>标点问题</groupName>
      <ability>L2_Punc</ability>
      <abilityName>标点符号检查</abilityName>
      <candidateList/>
      <explain/>
      <paraID>29C32233</paraID>
      <start>0</start>
      <end>1</end>
      <status>unmodified</status>
      <modifiedWord/>
      <trackRevisions>false</trackRevisions>
    </reviewItem>
    <reviewItem>
      <errorID>495445d9-396d-483a-978a-cc791972d189</errorID>
      <errorWord>:</errorWord>
      <group>L1_Format</group>
      <groupName>格式问题</groupName>
      <ability>L2_HalfPunc</ability>
      <abilityName>全半角检查</abilityName>
      <candidateList>
        <item>：</item>
      </candidateList>
      <explain>文本全半角错误。</explain>
      <paraID> 3F020F2</paraID>
      <start>19</start>
      <end>20</end>
      <status>unmodified</status>
      <modifiedWord/>
      <trackRevisions>false</trackRevisions>
    </reviewItem>
    <reviewItem>
      <errorID>ab29646d-42be-4118-a7be-72a51933cc2f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2E2C9884</paraID>
      <start>0</start>
      <end>4</end>
      <status>unmodified</status>
      <modifiedWord/>
      <trackRevisions>false</trackRevisions>
    </reviewItem>
    <reviewItem>
      <errorID>4456d5bf-b75c-4ecc-9766-801e9a49206b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605872BF</paraID>
      <start>0</start>
      <end>4</end>
      <status>unmodified</status>
      <modifiedWord/>
      <trackRevisions>false</trackRevisions>
    </reviewItem>
    <reviewItem>
      <errorID>820d41e0-36dd-42df-af1e-f2414d838663</errorID>
      <errorWord>:</errorWord>
      <group>L1_Format</group>
      <groupName>格式问题</groupName>
      <ability>L2_HalfPunc</ability>
      <abilityName>全半角检查</abilityName>
      <candidateList>
        <item>：</item>
      </candidateList>
      <explain>文本全半角错误。</explain>
      <paraID>605872BF</paraID>
      <start>16</start>
      <end>17</end>
      <status>unmodified</status>
      <modifiedWord/>
      <trackRevisions>false</trackRevisions>
    </reviewItem>
    <reviewItem>
      <errorID>87271690-b392-4187-9b4f-48358623e396</errorID>
      <errorWord>(</errorWord>
      <group>L1_Format</group>
      <groupName>格式问题</groupName>
      <ability>L2_HalfPunc</ability>
      <abilityName>全半角检查</abilityName>
      <candidateList>
        <item>（</item>
      </candidateList>
      <explain>文本全半角错误。</explain>
      <paraID> DD89426</paraID>
      <start>2</start>
      <end>3</end>
      <status>unmodified</status>
      <modifiedWord/>
      <trackRevisions>false</trackRevisions>
    </reviewItem>
    <reviewItem>
      <errorID>a7e0221e-8e08-435c-9cd3-577c81fa3ec5</errorID>
      <errorWord>)</errorWord>
      <group>L1_Format</group>
      <groupName>格式问题</groupName>
      <ability>L2_HalfPunc</ability>
      <abilityName>全半角检查</abilityName>
      <candidateList>
        <item>）</item>
      </candidateList>
      <explain>文本全半角错误。</explain>
      <paraID> DD89426</paraID>
      <start>4</start>
      <end>5</end>
      <status>unmodified</status>
      <modifiedWord/>
      <trackRevisions>false</trackRevisions>
    </reviewItem>
    <reviewItem>
      <errorID>74b8dd44-2dc3-46a5-80ce-e782b4ebe434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569938D4</paraID>
      <start>0</start>
      <end>4</end>
      <status>unmodified</status>
      <modifiedWord/>
      <trackRevisions>false</trackRevisions>
    </reviewItem>
    <reviewItem>
      <errorID>737e7dad-6c01-4aca-8808-98b459c6aced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387E7AAB</paraID>
      <start>0</start>
      <end>2</end>
      <status>unmodified</status>
      <modifiedWord/>
      <trackRevisions>false</trackRevisions>
    </reviewItem>
    <reviewItem>
      <errorID>6d6ac4f7-5d71-4a39-a375-535d889881b1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13A251A4</paraID>
      <start>0</start>
      <end>2</end>
      <status>unmodified</status>
      <modifiedWord/>
      <trackRevisions>false</trackRevisions>
    </reviewItem>
    <reviewItem>
      <errorID>338bd0c1-241d-45f7-916c-5d4cf5038ea4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6A97C5E1</paraID>
      <start>0</start>
      <end>2</end>
      <status>unmodified</status>
      <modifiedWord/>
      <trackRevisions>false</trackRevisions>
    </reviewItem>
    <reviewItem>
      <errorID>0118a357-52ab-429f-a792-b75dfee8603c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16F33E64</paraID>
      <start>0</start>
      <end>2</end>
      <status>unmodified</status>
      <modifiedWord/>
      <trackRevisions>false</trackRevisions>
    </reviewItem>
    <reviewItem>
      <errorID>71957de2-2ed4-47c2-a8c7-63c73b120640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547989D1</paraID>
      <start>0</start>
      <end>2</end>
      <status>unmodified</status>
      <modifiedWord/>
      <trackRevisions>false</trackRevisions>
    </reviewItem>
    <reviewItem>
      <errorID>039a3ce7-a1ae-4548-a7de-93bc9cdfb27f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776164ED</paraID>
      <start>0</start>
      <end>2</end>
      <status>unmodified</status>
      <modifiedWord/>
      <trackRevisions>false</trackRevisions>
    </reviewItem>
    <reviewItem>
      <errorID>a91d2132-0762-4513-9b1b-2cc867731bdc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51616A95</paraID>
      <start>0</start>
      <end>2</end>
      <status>unmodified</status>
      <modifiedWord/>
      <trackRevisions>false</trackRevisions>
    </reviewItem>
    <reviewItem>
      <errorID>9ddba952-df67-4ca4-8f33-852b357f3128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B695619</paraID>
      <start>0</start>
      <end>2</end>
      <status>unmodified</status>
      <modifiedWord/>
      <trackRevisions>false</trackRevisions>
    </reviewItem>
    <reviewItem>
      <errorID>e2100c2b-a3bc-4f27-bf5c-aaeb3f600b02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516852A8</paraID>
      <start>0</start>
      <end>2</end>
      <status>unmodified</status>
      <modifiedWord/>
      <trackRevisions>false</trackRevisions>
    </reviewItem>
    <reviewItem>
      <errorID>739bc2b5-e590-4da1-a039-1b7a42561c05</errorID>
      <errorWord>构建</errorWord>
      <group>L1_Word</group>
      <groupName>字词问题</groupName>
      <ability>L2_Typo</ability>
      <abilityName>字词错误</abilityName>
      <candidateList>
        <item>购置</item>
      </candidateList>
      <explain/>
      <paraID>516852A8</paraID>
      <start>53</start>
      <end>55</end>
      <status>unmodified</status>
      <modifiedWord/>
      <trackRevisions>false</trackRevisions>
    </reviewItem>
    <reviewItem>
      <errorID>bdb248d9-e095-4de9-aea3-37eef8b2b41d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369CD2CF</paraID>
      <start>0</start>
      <end>3</end>
      <status>unmodified</status>
      <modifiedWord/>
      <trackRevisions>false</trackRevisions>
    </reviewItem>
    <reviewItem>
      <errorID>86d3b70c-3ebe-4367-bb98-b7cdd2a04ab2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7779469A</paraID>
      <start>0</start>
      <end>3</end>
      <status>unmodified</status>
      <modifiedWord/>
      <trackRevisions>false</trackRevisions>
    </reviewItem>
    <reviewItem>
      <errorID>403254bb-6ca7-4193-866c-07ab0519b217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1D7E3CE</paraID>
      <start>0</start>
      <end>3</end>
      <status>unmodified</status>
      <modifiedWord/>
      <trackRevisions>false</trackRevisions>
    </reviewItem>
    <reviewItem>
      <errorID>7106a9d9-61a5-4292-b076-9207d10aedf1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5C23E638</paraID>
      <start>0</start>
      <end>3</end>
      <status>unmodified</status>
      <modifiedWord/>
      <trackRevisions>false</trackRevisions>
    </reviewItem>
    <reviewItem>
      <errorID>ffac6459-4b85-4cb3-a4a7-578007fa5ad7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6815D0B8</paraID>
      <start>0</start>
      <end>3</end>
      <status>unmodified</status>
      <modifiedWord/>
      <trackRevisions>false</trackRevisions>
    </reviewItem>
    <reviewItem>
      <errorID>4df1668c-059a-4bc7-bee0-9ce28dea282d</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52F8F3CB</paraID>
      <start>0</start>
      <end>3</end>
      <status>unmodified</status>
      <modifiedWord/>
      <trackRevisions>false</trackRevisions>
    </reviewItem>
    <reviewItem>
      <errorID>1ab89855-d595-406a-84f7-d7a303318c96</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1EB6CEF2</paraID>
      <start>0</start>
      <end>3</end>
      <status>unmodified</status>
      <modifiedWord/>
      <trackRevisions>false</trackRevisions>
    </reviewItem>
    <reviewItem>
      <errorID>71842da6-c3b0-477e-92e9-acd6cf1db8de</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14602FBC</paraID>
      <start>0</start>
      <end>3</end>
      <status>unmodified</status>
      <modifiedWord/>
      <trackRevisions>false</trackRevisions>
    </reviewItem>
    <reviewItem>
      <errorID>82ebba3e-f8ec-4abf-b12f-991f79247a2d</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1FF43BA2</paraID>
      <start>0</start>
      <end>3</end>
      <status>unmodified</status>
      <modifiedWord/>
      <trackRevisions>false</trackRevisions>
    </reviewItem>
    <reviewItem>
      <errorID>d2cd7394-508a-481d-bfe2-4c095e1033b4</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165BC357</paraID>
      <start>0</start>
      <end>3</end>
      <status>unmodified</status>
      <modifiedWord/>
      <trackRevisions>false</trackRevisions>
    </reviewItem>
    <reviewItem>
      <errorID>63cde1a5-855c-4eb9-abac-35c334bb94e9</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706C47A1</paraID>
      <start>0</start>
      <end>3</end>
      <status>unmodified</status>
      <modifiedWord/>
      <trackRevisions>false</trackRevisions>
    </reviewItem>
    <reviewItem>
      <errorID>e99c22b1-98cc-493b-bea9-e20456ce21b1</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562F0929</paraID>
      <start>0</start>
      <end>3</end>
      <status>unmodified</status>
      <modifiedWord/>
      <trackRevisions>false</trackRevisions>
    </reviewItem>
    <reviewItem>
      <errorID>665badb7-d243-4aed-bf78-79ac402487a1</errorID>
      <errorWord>下滑</errorWord>
      <group>L1_Word</group>
      <groupName>字词问题</groupName>
      <ability>L2_Typo</ability>
      <abilityName>字词错误</abilityName>
      <candidateList>
        <item>增大</item>
      </candidateList>
      <explain/>
      <paraID>562F0929</paraID>
      <start>70</start>
      <end>72</end>
      <status>unmodified</status>
      <modifiedWord/>
      <trackRevisions>false</trackRevisions>
    </reviewItem>
    <reviewItem>
      <errorID>7718741b-8054-4125-82db-777a5c5439da</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5837734B</paraID>
      <start>0</start>
      <end>3</end>
      <status>unmodified</status>
      <modifiedWord/>
      <trackRevisions>false</trackRevisions>
    </reviewItem>
    <reviewItem>
      <errorID>42eba382-fab6-4c86-9c2a-86a646976475</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23E5472B</paraID>
      <start>0</start>
      <end>3</end>
      <status>unmodified</status>
      <modifiedWord/>
      <trackRevisions>false</trackRevisions>
    </reviewItem>
    <reviewItem>
      <errorID>6cb6a1b5-382e-4e12-8d15-79c08593dfae</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66B8A9CE</paraID>
      <start>0</start>
      <end>3</end>
      <status>unmodified</status>
      <modifiedWord/>
      <trackRevisions>false</trackRevisions>
    </reviewItem>
    <reviewItem>
      <errorID>76281a18-67b7-4801-b5f0-9911ec48abf0</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EBC4290</paraID>
      <start>0</start>
      <end>3</end>
      <status>unmodified</status>
      <modifiedWord/>
      <trackRevisions>false</trackRevisions>
    </reviewItem>
    <reviewItem>
      <errorID>1db31f63-918b-4859-859a-f95d668676dc</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263ABFD5</paraID>
      <start>0</start>
      <end>3</end>
      <status>unmodified</status>
      <modifiedWord/>
      <trackRevisions>false</trackRevisions>
    </reviewItem>
    <reviewItem>
      <errorID>efc119ab-7952-424b-8541-d2eeb30f864a</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76EAA8A</paraID>
      <start>0</start>
      <end>3</end>
      <status>unmodified</status>
      <modifiedWord/>
      <trackRevisions>false</trackRevisions>
    </reviewItem>
    <reviewItem>
      <errorID>09921441-9029-4e62-ac04-6dcf3c4468f5</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1E1A3675</paraID>
      <start>0</start>
      <end>3</end>
      <status>unmodified</status>
      <modifiedWord/>
      <trackRevisions>false</trackRevisions>
    </reviewItem>
    <reviewItem>
      <errorID>ef0f971c-5988-4118-b46f-ef77b60d50f4</errorID>
      <errorWord>大于上期金额</errorWord>
      <group>L1_Word</group>
      <groupName>字词问题</groupName>
      <ability>L2_Typo</ability>
      <abilityName>字词错误</abilityName>
      <candidateList>
        <item>的金额大于上期</item>
      </candidateList>
      <explain/>
      <paraID>1E1A3675</paraID>
      <start>80</start>
      <end>86</end>
      <status>unmodified</status>
      <modifiedWord/>
      <trackRevisions>false</trackRevisions>
    </reviewItem>
    <reviewItem>
      <errorID>585c2662-51de-4b26-bd20-6c2582487063</errorID>
      <errorWord>过程中</errorWord>
      <group>L1_Word</group>
      <groupName>字词问题</groupName>
      <ability>L2_Typo</ability>
      <abilityName>字词错误</abilityName>
      <candidateList>
        <item>过程</item>
      </candidateList>
      <explain/>
      <paraID>7A04AFA5</paraID>
      <start>6</start>
      <end>9</end>
      <status>unmodified</status>
      <modifiedWord/>
      <trackRevisions>false</trackRevisions>
    </reviewItem>
    <reviewItem>
      <errorID>476b963f-a6f0-421c-a060-003750e35357</errorID>
      <errorWord>*</errorWord>
      <group>L1_Punc</group>
      <groupName>标点问题</groupName>
      <ability>L2_Punc</ability>
      <abilityName>标点符号检查</abilityName>
      <candidateList/>
      <explain/>
      <paraID>69713A48</paraID>
      <start>0</start>
      <end>1</end>
      <status>unmodified</status>
      <modifiedWord/>
      <trackRevisions>false</trackRevisions>
    </reviewItem>
    <reviewItem>
      <errorID>ae9dfeb8-dd0c-49f5-99b5-17c183256ad2</errorID>
      <errorWord>*</errorWord>
      <group>L1_Punc</group>
      <groupName>标点问题</groupName>
      <ability>L2_Punc</ability>
      <abilityName>标点符号检查</abilityName>
      <candidateList/>
      <explain/>
      <paraID>37D5C2A9</paraID>
      <start>0</start>
      <end>1</end>
      <status>unmodified</status>
      <modifiedWord/>
      <trackRevisions>false</trackRevisions>
    </reviewItem>
    <reviewItem>
      <errorID>2c28b36d-98ca-4a24-a70f-8e9e28628118</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4184EDB6</paraID>
      <start>30</start>
      <end>33</end>
      <status>unmodified</status>
      <modifiedWord/>
      <trackRevisions>false</trackRevisions>
    </reviewItem>
    <reviewItem>
      <errorID>f0b5652d-4105-49c4-9ab3-f20de48bc6c0</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4184EDB6</paraID>
      <start>35</start>
      <end>38</end>
      <status>unmodified</status>
      <modifiedWord/>
      <trackRevisions>false</trackRevisions>
    </reviewItem>
    <reviewItem>
      <errorID>d6281094-4bf8-4511-bd3d-1d799d18145a</errorID>
      <errorWord>》</errorWord>
      <group>L1_Word</group>
      <groupName>字词问题</groupName>
      <ability>L2_Typo</ability>
      <abilityName>字词错误</abilityName>
      <candidateList>
        <item>》等</item>
      </candidateList>
      <explain/>
      <paraID>4184EDB6</paraID>
      <start>83</start>
      <end>84</end>
      <status>unmodified</status>
      <modifiedWord/>
      <trackRevisions>false</trackRevisions>
    </reviewItem>
    <reviewItem>
      <errorID>e3a7c692-cf5f-431b-8d03-bac4a5752762</errorID>
      <errorWord>管理办法》中</errorWord>
      <group>L1_Word</group>
      <groupName>字词问题</groupName>
      <ability>L2_Typo</ability>
      <abilityName>字词错误</abilityName>
      <candidateList>
        <item>管理办法》</item>
      </candidateList>
      <explain/>
      <paraID>27144B1E</paraID>
      <start>106</start>
      <end>112</end>
      <status>unmodified</status>
      <modifiedWord/>
      <trackRevisions>false</trackRevisions>
    </reviewItem>
    <reviewItem>
      <errorID>01fdc4dd-bca3-4bc2-b7a3-a9c5c04220f9</errorID>
      <errorWord>所</errorWord>
      <group>L1_Word</group>
      <groupName>字词问题</groupName>
      <ability>L2_Typo</ability>
      <abilityName>字词错误</abilityName>
      <candidateList>
        <item>在所</item>
      </candidateList>
      <explain/>
      <paraID>61D7339F</paraID>
      <start>82</start>
      <end>83</end>
      <status>unmodified</status>
      <modifiedWord/>
      <trackRevisions>false</trackRevisions>
    </reviewItem>
    <reviewItem>
      <errorID>9d347d5e-f223-45c0-9be2-e0680cb970e0</errorID>
      <errorWord>的专业领域，</errorWord>
      <group>L1_Grammar</group>
      <groupName>语法问题</groupName>
      <ability>L2_Grammar</ability>
      <abilityName>语法错误</abilityName>
      <candidateList>
        <item>专业领域的作用，</item>
      </candidateList>
      <explain/>
      <paraID>61D7339F</paraID>
      <start>85</start>
      <end>91</end>
      <status>unmodified</status>
      <modifiedWord/>
      <trackRevisions>false</trackRevisions>
    </reviewItem>
    <reviewItem>
      <errorID>6a2d9b6a-2f45-4b8e-8dae-532aedeb6003</errorID>
      <errorWord>和</errorWord>
      <group>L1_Punc</group>
      <groupName>标点问题</groupName>
      <ability>L2_Punc</ability>
      <abilityName>标点符号检查</abilityName>
      <candidateList>
        <item>——和</item>
      </candidateList>
      <explain/>
      <paraID>61C2278B</paraID>
      <start>27</start>
      <end>28</end>
      <status>unmodified</status>
      <modifiedWord/>
      <trackRevisions>false</trackRevisions>
    </reviewItem>
    <reviewItem>
      <errorID>a8ec02f2-9640-48a1-a336-3e754223eb5c</errorID>
      <errorWord>将</errorWord>
      <group>L1_Word</group>
      <groupName>字词问题</groupName>
      <ability>L2_Typo</ability>
      <abilityName>字词错误</abilityName>
      <candidateList>
        <item>将以</item>
      </candidateList>
      <explain/>
      <paraID> 8DF5D54</paraID>
      <start>9</start>
      <end>10</end>
      <status>unmodified</status>
      <modifiedWord/>
      <trackRevisions>false</trackRevisions>
    </reviewItem>
    <reviewItem>
      <errorID>d475aeda-f52e-4d93-9c2f-145ea76d71a3</errorID>
      <errorWord>详实</errorWord>
      <group>L1_Word</group>
      <groupName>字词问题</groupName>
      <ability>L2_Typo</ability>
      <abilityName>字词错误</abilityName>
      <candidateList>
        <item>翔实</item>
      </candidateList>
      <explain/>
      <paraID>3FD54239</paraID>
      <start>230</start>
      <end>232</end>
      <status>unmodified</status>
      <modifiedWord/>
      <trackRevisions>false</trackRevisions>
    </reviewItem>
    <reviewItem>
      <errorID>eaf64fc0-6c0b-45e3-b96e-989e4af4fd74</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45B0F852</paraID>
      <start>86</start>
      <end>88</end>
      <status>unmodified</status>
      <modifiedWord/>
      <trackRevisions>false</trackRevisions>
    </reviewItem>
    <reviewItem>
      <errorID>0160807f-a201-44ba-9754-64a0d7c32b8e</errorID>
      <errorWord>，</errorWord>
      <group>L1_Word</group>
      <groupName>字词问题</groupName>
      <ability>L2_Typo</ability>
      <abilityName>字词错误</abilityName>
      <candidateList>
        <item>，并</item>
      </candidateList>
      <explain/>
      <paraID>3C45B3E6</paraID>
      <start>67</start>
      <end>68</end>
      <status>unmodified</status>
      <modifiedWord/>
      <trackRevisions>false</trackRevisions>
    </reviewItem>
    <reviewItem>
      <errorID>813099c2-26bc-4cf7-b678-3a015bd7f88e</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560C0FD3</paraID>
      <start>146</start>
      <end>149</end>
      <status>unmodified</status>
      <modifiedWord/>
      <trackRevisions>false</trackRevisions>
    </reviewItem>
    <reviewItem>
      <errorID>724b4d5d-2b54-4d21-bc50-d4e14be32939</errorID>
      <errorWord>。</errorWord>
      <group>L1_Grammar</group>
      <groupName>语法问题</groupName>
      <ability>L2_Grammar</ability>
      <abilityName>语法错误</abilityName>
      <candidateList>
        <item>，避免了利益冲突。</item>
      </candidateList>
      <explain/>
      <paraID>154035E1</paraID>
      <start>241</start>
      <end>242</end>
      <status>unmodified</status>
      <modifiedWord/>
      <trackRevisions>false</trackRevisions>
    </reviewItem>
    <reviewItem>
      <errorID>20a35e61-7c0d-4780-8974-ca2545388bbf</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7E6524B1</paraID>
      <start>30</start>
      <end>33</end>
      <status>unmodified</status>
      <modifiedWord/>
      <trackRevisions>false</trackRevisions>
    </reviewItem>
    <reviewItem>
      <errorID>50b27ffa-6bb5-4892-9aec-5eda6baf3a59</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7E6524B1</paraID>
      <start>35</start>
      <end>38</end>
      <status>unmodified</status>
      <modifiedWord/>
      <trackRevisions>false</trackRevisions>
    </reviewItem>
    <reviewItem>
      <errorID>d8b459f4-7b1d-4178-8f1a-1a2b367a6c92</errorID>
      <errorWord>，所长职务</errorWord>
      <group>L1_Grammar</group>
      <groupName>语法问题</groupName>
      <ability>L2_Grammar</ability>
      <abilityName>语法错误</abilityName>
      <candidateList>
        <item>所长</item>
      </candidateList>
      <explain/>
      <paraID>5CE4521D</paraID>
      <start>57</start>
      <end>62</end>
      <status>unmodified</status>
      <modifiedWord/>
      <trackRevisions>false</trackRevisions>
    </reviewItem>
    <reviewItem>
      <errorID>a0695768-8cfe-4465-8e1b-df67b14b6ffb</errorID>
      <errorWord>管理办法》中</errorWord>
      <group>L1_Word</group>
      <groupName>字词问题</groupName>
      <ability>L2_Typo</ability>
      <abilityName>字词错误</abilityName>
      <candidateList>
        <item>管理办法》</item>
      </candidateList>
      <explain/>
      <paraID>2F14A89B</paraID>
      <start>106</start>
      <end>112</end>
      <status>unmodified</status>
      <modifiedWord/>
      <trackRevisions>false</trackRevisions>
    </reviewItem>
    <reviewItem>
      <errorID>6d219bc5-21f6-46f7-b850-b1c9e3039be3</errorID>
      <errorWord>审议</errorWord>
      <group>L1_Word</group>
      <groupName>字词问题</groupName>
      <ability>L2_Typo</ability>
      <abilityName>字词错误</abilityName>
      <candidateList>
        <item>研究</item>
      </candidateList>
      <explain/>
      <paraID> 4434BA5</paraID>
      <start>76</start>
      <end>78</end>
      <status>unmodified</status>
      <modifiedWord/>
      <trackRevisions>false</trackRevisions>
    </reviewItem>
    <reviewItem>
      <errorID>ae8bf0ac-cffe-422c-8947-e641fdcf58d6</errorID>
      <errorWord>和</errorWord>
      <group>L1_Word</group>
      <groupName>字词问题</groupName>
      <ability>L2_Typo</ability>
      <abilityName>字词错误</abilityName>
      <candidateList>
        <item>和和</item>
      </candidateList>
      <explain/>
      <paraID>7311E922</paraID>
      <start>27</start>
      <end>28</end>
      <status>unmodified</status>
      <modifiedWord/>
      <trackRevisions>false</trackRevisions>
    </reviewItem>
    <reviewItem>
      <errorID>a4ab9edb-e3a3-4c1d-a2cf-10aad49b2ba6</errorID>
      <errorWord>将</errorWord>
      <group>L1_Word</group>
      <groupName>字词问题</groupName>
      <ability>L2_Typo</ability>
      <abilityName>字词错误</abilityName>
      <candidateList>
        <item>将以</item>
      </candidateList>
      <explain/>
      <paraID>4097B4EB</paraID>
      <start>9</start>
      <end>10</end>
      <status>unmodified</status>
      <modifiedWord/>
      <trackRevisions>false</trackRevisions>
    </reviewItem>
    <reviewItem>
      <errorID>828c7be3-cd5a-4c3c-a9af-3701d82b2d74</errorID>
      <errorWord>详实</errorWord>
      <group>L1_Word</group>
      <groupName>字词问题</groupName>
      <ability>L2_Typo</ability>
      <abilityName>字词错误</abilityName>
      <candidateList>
        <item>翔实</item>
      </candidateList>
      <explain/>
      <paraID>65D1971F</paraID>
      <start>228</start>
      <end>230</end>
      <status>unmodified</status>
      <modifiedWord/>
      <trackRevisions>false</trackRevisions>
    </reviewItem>
    <reviewItem>
      <errorID>3d43f1fc-b441-4571-969e-1c30444015d2</errorID>
      <errorWord>行</errorWord>
      <group>L1_Word</group>
      <groupName>字词问题</groupName>
      <ability>L2_Typo</ability>
      <abilityName>字词错误</abilityName>
      <candidateList>
        <item>行了</item>
      </candidateList>
      <explain/>
      <paraID>29486A30</paraID>
      <start>91</start>
      <end>92</end>
      <status>unmodified</status>
      <modifiedWord/>
      <trackRevisions>false</trackRevisions>
    </reviewItem>
    <reviewItem>
      <errorID>8efbd36c-ea63-444a-9e48-c8cbece3f819</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3E89B034</paraID>
      <start>146</start>
      <end>149</end>
      <status>unmodified</status>
      <modifiedWord/>
      <trackRevisions>false</trackRevisions>
    </reviewItem>
    <reviewItem>
      <errorID>8aae377e-7dc0-4786-850e-256e70b7deca</errorID>
      <errorWord>。</errorWord>
      <group>L1_Grammar</group>
      <groupName>语法问题</groupName>
      <ability>L2_Grammar</ability>
      <abilityName>语法错误</abilityName>
      <candidateList>
        <item>，避免了利益冲突。</item>
      </candidateList>
      <explain/>
      <paraID>3B2D82F1</paraID>
      <start>241</start>
      <end>242</end>
      <status>unmodified</status>
      <modifiedWord/>
      <trackRevisions>false</trackRevisions>
    </reviewItem>
    <reviewItem>
      <errorID>9705d071-52e9-40a1-9eb2-dedeff6b871c</errorID>
      <errorWord>工作开展</errorWord>
      <group>L1_Grammar</group>
      <groupName>语法问题</groupName>
      <ability>L2_Grammar</ability>
      <abilityName>语法错误</abilityName>
      <candidateList>
        <item>工作</item>
      </candidateList>
      <explain/>
      <paraID>6C9B1E4A</paraID>
      <start>16</start>
      <end>20</end>
      <status>unmodified</status>
      <modifiedWord/>
      <trackRevisions>false</trackRevisions>
    </reviewItem>
    <reviewItem>
      <errorID>057dafe2-f764-435a-8350-6f8f95ea87e7</errorID>
      <errorWord> </errorWord>
      <group>L1_Punc</group>
      <groupName>标点问题</groupName>
      <ability>L2_Punc</ability>
      <abilityName>标点符号检查</abilityName>
      <candidateList>
        <item/>
      </candidateList>
      <explain>此处空格冗余，建议删除。</explain>
      <paraID>6C9B1E4A</paraID>
      <start>30</start>
      <end>31</end>
      <status>unmodified</status>
      <modifiedWord/>
      <trackRevisions>false</trackRevisions>
    </reviewItem>
    <reviewItem>
      <errorID>bdf13edf-2b01-4822-b0e8-761c1e27aabd</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3778E046</paraID>
      <start>30</start>
      <end>33</end>
      <status>unmodified</status>
      <modifiedWord/>
      <trackRevisions>false</trackRevisions>
    </reviewItem>
    <reviewItem>
      <errorID>99eaacdd-18f7-4ad2-8567-1cb7c58b1a0d</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3778E046</paraID>
      <start>35</start>
      <end>38</end>
      <status>unmodified</status>
      <modifiedWord/>
      <trackRevisions>false</trackRevisions>
    </reviewItem>
    <reviewItem>
      <errorID>67cf61aa-a685-404a-9056-e035c4639a46</errorID>
      <errorWord>意见</errorWord>
      <group>L1_Grammar</group>
      <groupName>语法问题</groupName>
      <ability>L2_Grammar</ability>
      <abilityName>语法错误</abilityName>
      <candidateList>
        <item>实施意见</item>
      </candidateList>
      <explain/>
      <paraID>3778E046</paraID>
      <start>55</start>
      <end>57</end>
      <status>unmodified</status>
      <modifiedWord/>
      <trackRevisions>false</trackRevisions>
    </reviewItem>
    <reviewItem>
      <errorID>55a918d2-c03f-4392-96a2-eb95240a0de4</errorID>
      <errorWord>》</errorWord>
      <group>L1_Word</group>
      <groupName>字词问题</groupName>
      <ability>L2_Typo</ability>
      <abilityName>字词错误</abilityName>
      <candidateList>
        <item>》等</item>
      </candidateList>
      <explain/>
      <paraID>3778E046</paraID>
      <start>83</start>
      <end>84</end>
      <status>unmodified</status>
      <modifiedWord/>
      <trackRevisions>false</trackRevisions>
    </reviewItem>
    <reviewItem>
      <errorID>e37fb59e-d3bf-4b72-a0fa-97df8fdafc2f</errorID>
      <errorWord>。</errorWord>
      <group>L1_Grammar</group>
      <groupName>语法问题</groupName>
      <ability>L2_Grammar</ability>
      <abilityName>语法错误</abilityName>
      <candidateList>
        <item>，避免了利益冲突。</item>
      </candidateList>
      <explain/>
      <paraID>3778E046</paraID>
      <start>199</start>
      <end>200</end>
      <status>unmodified</status>
      <modifiedWord/>
      <trackRevisions>false</trackRevisions>
    </reviewItem>
    <reviewItem>
      <errorID>30dd1483-e951-494e-8876-924d666e8295</errorID>
      <errorWord>管理办法》中</errorWord>
      <group>L1_Word</group>
      <groupName>字词问题</groupName>
      <ability>L2_Typo</ability>
      <abilityName>字词错误</abilityName>
      <candidateList>
        <item>管理办法》</item>
      </candidateList>
      <explain/>
      <paraID>3A5B855E</paraID>
      <start>99</start>
      <end>105</end>
      <status>unmodified</status>
      <modifiedWord/>
      <trackRevisions>false</trackRevisions>
    </reviewItem>
    <reviewItem>
      <errorID>83aef748-1fe3-4714-8e80-e6bda1dc2e8c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6DF5FB79</paraID>
      <start>59</start>
      <end>60</end>
      <status>unmodified</status>
      <modifiedWord/>
      <trackRevisions>false</trackRevisions>
    </reviewItem>
    <reviewItem>
      <errorID>f8c0f7f7-7255-494a-bddd-7214b45dcb3d</errorID>
      <errorWord>和</errorWord>
      <group>L1_Word</group>
      <groupName>字词问题</groupName>
      <ability>L2_Typo</ability>
      <abilityName>字词错误</abilityName>
      <candidateList>
        <item>、</item>
      </candidateList>
      <explain/>
      <paraID>419C8BB0</paraID>
      <start>59</start>
      <end>60</end>
      <status>unmodified</status>
      <modifiedWord/>
      <trackRevisions>false</trackRevisions>
    </reviewItem>
    <reviewItem>
      <errorID>e77b66b1-1370-4140-8268-52c3126a2514</errorID>
      <errorWord>1</errorWord>
      <group>L1_Word</group>
      <groupName>字词问题</groupName>
      <ability>L2_Typo</ability>
      <abilityName>字词错误</abilityName>
      <candidateList>
        <item>等1</item>
      </candidateList>
      <explain/>
      <paraID>419C8BB0</paraID>
      <start>69</start>
      <end>70</end>
      <status>unmodified</status>
      <modifiedWord/>
      <trackRevisions>false</trackRevisions>
    </reviewItem>
    <reviewItem>
      <errorID>dbc42edb-1621-4c26-97b0-a48616de7192</errorID>
      <errorWord>审议</errorWord>
      <group>L1_Word</group>
      <groupName>字词问题</groupName>
      <ability>L2_Typo</ability>
      <abilityName>字词错误</abilityName>
      <candidateList>
        <item>研究</item>
      </candidateList>
      <explain/>
      <paraID>  C3D22D</paraID>
      <start>76</start>
      <end>78</end>
      <status>unmodified</status>
      <modifiedWord/>
      <trackRevisions>false</trackRevisions>
    </reviewItem>
    <reviewItem>
      <errorID>fc7db65a-8072-4e86-823f-38a19b80cd3d</errorID>
      <errorWord>经管</errorWord>
      <group>L1_Word</group>
      <groupName>字词问题</groupName>
      <ability>L2_Typo</ability>
      <abilityName>字词错误</abilityName>
      <candidateList>
        <item>经营</item>
      </candidateList>
      <explain/>
      <paraID>3E26823D</paraID>
      <start>54</start>
      <end>56</end>
      <status>unmodified</status>
      <modifiedWord/>
      <trackRevisions>false</trackRevisions>
    </reviewItem>
    <reviewItem>
      <errorID>74865a54-8a28-42f2-b97b-bb1c844a2575</errorID>
      <errorWord>将</errorWord>
      <group>L1_Word</group>
      <groupName>字词问题</groupName>
      <ability>L2_Typo</ability>
      <abilityName>字词错误</abilityName>
      <candidateList>
        <item>将以</item>
      </candidateList>
      <explain/>
      <paraID>59511D13</paraID>
      <start>10</start>
      <end>11</end>
      <status>unmodified</status>
      <modifiedWord/>
      <trackRevisions>false</trackRevisions>
    </reviewItem>
    <reviewItem>
      <errorID>15a0fc95-e8fb-4198-9b9c-11e881a424aa</errorID>
      <errorWord>详实</errorWord>
      <group>L1_Word</group>
      <groupName>字词问题</groupName>
      <ability>L2_Typo</ability>
      <abilityName>字词错误</abilityName>
      <candidateList>
        <item>翔实</item>
      </candidateList>
      <explain/>
      <paraID>4A65C1FF</paraID>
      <start>230</start>
      <end>232</end>
      <status>unmodified</status>
      <modifiedWord/>
      <trackRevisions>false</trackRevisions>
    </reviewItem>
    <reviewItem>
      <errorID>369d33d4-7fcb-448d-a94e-74142ad1c77c</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 149D891</paraID>
      <start>143</start>
      <end>146</end>
      <status>unmodified</status>
      <modifiedWord/>
      <trackRevisions>false</trackRevisions>
    </reviewItem>
    <reviewItem>
      <errorID>3d9eebd7-29a2-40cd-95b6-e9eeca6a019e</errorID>
      <errorWord>。</errorWord>
      <group>L1_Grammar</group>
      <groupName>语法问题</groupName>
      <ability>L2_Grammar</ability>
      <abilityName>语法错误</abilityName>
      <candidateList>
        <item>，避免了利益冲突。</item>
      </candidateList>
      <explain/>
      <paraID>44A0EE15</paraID>
      <start>239</start>
      <end>240</end>
      <status>unmodified</status>
      <modifiedWord/>
      <trackRevisions>false</trackRevisions>
    </reviewItem>
    <reviewItem>
      <errorID>79301644-6ca9-4f3a-846b-cbfaf04f89f5</errorID>
      <errorWord>*</errorWord>
      <group>L1_Punc</group>
      <groupName>标点问题</groupName>
      <ability>L2_Punc</ability>
      <abilityName>标点符号检查</abilityName>
      <candidateList/>
      <explain/>
      <paraID>160405BF</paraID>
      <start>0</start>
      <end>1</end>
      <status>unmodified</status>
      <modifiedWord/>
      <trackRevisions>false</trackRevisions>
    </reviewItem>
    <reviewItem>
      <errorID>180d7706-3d87-4c03-87a6-05e2284e505c</errorID>
      <errorWord>*</errorWord>
      <group>L1_Punc</group>
      <groupName>标点问题</groupName>
      <ability>L2_Punc</ability>
      <abilityName>标点符号检查</abilityName>
      <candidateList/>
      <explain/>
      <paraID>335D3DDD</paraID>
      <start>0</start>
      <end>1</end>
      <status>unmodified</status>
      <modifiedWord/>
      <trackRevisions>false</trackRevisions>
    </reviewItem>
    <reviewItem>
      <errorID>b6829166-79d8-4a90-a4d0-6b4391a050d1</errorID>
      <errorWord>做出</errorWord>
      <group>L1_Word</group>
      <groupName>字词问题</groupName>
      <ability>L2_Typo</ability>
      <abilityName>字词错误</abilityName>
      <candidateList>
        <item>作出</item>
      </candidateList>
      <explain/>
      <paraID> D7A2FA5</paraID>
      <start>20</start>
      <end>22</end>
      <status>unmodified</status>
      <modifiedWord/>
      <trackRevisions>false</trackRevisions>
    </reviewItem>
    <reviewItem>
      <errorID>7d3431ed-95f1-43dd-8fc9-917722337605</errorID>
      <errorWord>不仅</errorWord>
      <group>L1_Word</group>
      <groupName>字词问题</groupName>
      <ability>L2_Typo</ability>
      <abilityName>字词错误</abilityName>
      <candidateList>
        <item>不</item>
      </candidateList>
      <explain/>
      <paraID>22E583FD</paraID>
      <start>555</start>
      <end>557</end>
      <status>unmodified</status>
      <modifiedWord/>
      <trackRevisions>false</trackRevisions>
    </reviewItem>
    <reviewItem>
      <errorID>d2e2d9b2-43c5-4e3a-9344-fa68d2d120a6</errorID>
      <errorWord>、</errorWord>
      <group>L1_Punc</group>
      <groupName>标点问题</groupName>
      <ability>L2_Punc</ability>
      <abilityName>标点符号检查</abilityName>
      <candidateList>
        <item>，</item>
      </candidateList>
      <explain/>
      <paraID>22E583FD</paraID>
      <start>570</start>
      <end>571</end>
      <status>unmodified</status>
      <modifiedWord/>
      <trackRevisions>false</trackRevisions>
    </reviewItem>
    <reviewItem>
      <errorID>d26f261a-1ecb-46fe-ad26-072f998473df</errorID>
      <errorWord>不仅</errorWord>
      <group>L1_Word</group>
      <groupName>字词问题</groupName>
      <ability>L2_Typo</ability>
      <abilityName>字词错误</abilityName>
      <candidateList>
        <item>不</item>
      </candidateList>
      <explain/>
      <paraID>22E583FD</paraID>
      <start>581</start>
      <end>583</end>
      <status>unmodified</status>
      <modifiedWord/>
      <trackRevisions>false</trackRevisions>
    </reviewItem>
    <reviewItem>
      <errorID>77c0d082-8f4c-4e05-a179-7f594d38d5c0</errorID>
      <errorWord>、</errorWord>
      <group>L1_Punc</group>
      <groupName>标点问题</groupName>
      <ability>L2_Punc</ability>
      <abilityName>标点符号检查</abilityName>
      <candidateList>
        <item>，</item>
      </candidateList>
      <explain/>
      <paraID>22E583FD</paraID>
      <start>596</start>
      <end>597</end>
      <status>unmodified</status>
      <modifiedWord/>
      <trackRevisions>false</trackRevisions>
    </reviewItem>
    <reviewItem>
      <errorID>5b9e9153-ea1f-4d28-b815-a044bf329d73</errorID>
      <errorWord>不仅</errorWord>
      <group>L1_Word</group>
      <groupName>字词问题</groupName>
      <ability>L2_Typo</ability>
      <abilityName>字词错误</abilityName>
      <candidateList>
        <item>不</item>
      </candidateList>
      <explain/>
      <paraID>22E583FD</paraID>
      <start>618</start>
      <end>620</end>
      <status>unmodified</status>
      <modifiedWord/>
      <trackRevisions>false</trackRevisions>
    </reviewItem>
    <reviewItem>
      <errorID>93b12961-ce71-4e5d-ac8e-5bedc0aae169</errorID>
      <errorWord>不仅</errorWord>
      <group>L1_Word</group>
      <groupName>字词问题</groupName>
      <ability>L2_Typo</ability>
      <abilityName>字词错误</abilityName>
      <candidateList>
        <item>不</item>
      </candidateList>
      <explain/>
      <paraID>22E583FD</paraID>
      <start>667</start>
      <end>669</end>
      <status>unmodified</status>
      <modifiedWord/>
      <trackRevisions>false</trackRevisions>
    </reviewItem>
    <reviewItem>
      <errorID>43583534-013c-4d26-a73c-b76de58670d8</errorID>
      <errorWord>不仅</errorWord>
      <group>L1_Word</group>
      <groupName>字词问题</groupName>
      <ability>L2_Typo</ability>
      <abilityName>字词错误</abilityName>
      <candidateList>
        <item>不</item>
      </candidateList>
      <explain/>
      <paraID>22E583FD</paraID>
      <start>703</start>
      <end>705</end>
      <status>unmodified</status>
      <modifiedWord/>
      <trackRevisions>false</trackRevisions>
    </reviewItem>
    <reviewItem>
      <errorID>3a9a597c-6b27-4439-829c-8f6498618451</errorID>
      <errorWord>且</errorWord>
      <group>L1_Word</group>
      <groupName>字词问题</groupName>
      <ability>L2_Typo</ability>
      <abilityName>字词错误</abilityName>
      <candidateList>
        <item>，</item>
      </candidateList>
      <explain/>
      <paraID>22E583FD</paraID>
      <start>737</start>
      <end>738</end>
      <status>unmodified</status>
      <modifiedWord/>
      <trackRevisions>false</trackRevisions>
    </reviewItem>
    <reviewItem>
      <errorID>67276851-e5fe-4524-8dd2-7b17b8fc48e7</errorID>
      <errorWord>、</errorWord>
      <group>L1_Punc</group>
      <groupName>标点问题</groupName>
      <ability>L2_Punc</ability>
      <abilityName>标点符号检查</abilityName>
      <candidateList>
        <item>，</item>
      </candidateList>
      <explain/>
      <paraID>22E583FD</paraID>
      <start>757</start>
      <end>758</end>
      <status>unmodified</status>
      <modifiedWord/>
      <trackRevisions>false</trackRevisions>
    </reviewItem>
    <reviewItem>
      <errorID>1771c57b-bf81-42f9-9dba-87002bb59098</errorID>
      <errorWord>不仅</errorWord>
      <group>L1_Word</group>
      <groupName>字词问题</groupName>
      <ability>L2_Typo</ability>
      <abilityName>字词错误</abilityName>
      <candidateList>
        <item>不</item>
      </candidateList>
      <explain/>
      <paraID>22E583FD</paraID>
      <start>780</start>
      <end>782</end>
      <status>unmodified</status>
      <modifiedWord/>
      <trackRevisions>false</trackRevisions>
    </reviewItem>
    <reviewItem>
      <errorID>230e33a4-125d-4568-8cd5-483375896ae0</errorID>
      <errorWord>*</errorWord>
      <group>L1_Punc</group>
      <groupName>标点问题</groupName>
      <ability>L2_Punc</ability>
      <abilityName>标点符号检查</abilityName>
      <candidateList/>
      <explain/>
      <paraID>51F1AEAD</paraID>
      <start>0</start>
      <end>1</end>
      <status>unmodified</status>
      <modifiedWord/>
      <trackRevisions>false</trackRevisions>
    </reviewItem>
    <reviewItem>
      <errorID>d7c28b88-df1a-4ac6-a4f5-2c966e345e03</errorID>
      <errorWord>*</errorWord>
      <group>L1_Punc</group>
      <groupName>标点问题</groupName>
      <ability>L2_Punc</ability>
      <abilityName>标点符号检查</abilityName>
      <candidateList/>
      <explain/>
      <paraID>3FC6FB57</paraID>
      <start>0</start>
      <end>1</end>
      <status>unmodified</status>
      <modifiedWord/>
      <trackRevisions>false</trackRevisions>
    </reviewItem>
    <reviewItem>
      <errorID>77037010-31ac-4601-a595-08f0a15b278d</errorID>
      <errorWord>*</errorWord>
      <group>L1_Punc</group>
      <groupName>标点问题</groupName>
      <ability>L2_Punc</ability>
      <abilityName>标点符号检查</abilityName>
      <candidateList/>
      <explain/>
      <paraID>244C6434</paraID>
      <start>0</start>
      <end>1</end>
      <status>unmodified</status>
      <modifiedWord/>
      <trackRevisions>false</trackRevisions>
    </reviewItem>
    <reviewItem>
      <errorID>677cb2dd-858f-4e1f-be74-fc4bab917484</errorID>
      <errorWord>*</errorWord>
      <group>L1_Punc</group>
      <groupName>标点问题</groupName>
      <ability>L2_Punc</ability>
      <abilityName>标点符号检查</abilityName>
      <candidateList/>
      <explain/>
      <paraID>21ACF6C9</paraID>
      <start>0</start>
      <end>1</end>
      <status>unmodified</status>
      <modifiedWord/>
      <trackRevisions>false</trackRevisions>
    </reviewItem>
    <reviewItem>
      <errorID>f839af7f-3169-4be7-82aa-3ca3f698d0c7</errorID>
      <errorWord>截止2025年</errorWord>
      <group>L1_Word</group>
      <groupName>字词问题</groupName>
      <ability>L2_Typo</ability>
      <abilityName>字词错误</abilityName>
      <candidateList>
        <item>截至2025年</item>
      </candidateList>
      <explain/>
      <paraID>1DEBD978</paraID>
      <start>3</start>
      <end>10</end>
      <status>unmodified</status>
      <modifiedWord/>
      <trackRevisions>false</trackRevisions>
    </reviewItem>
    <reviewItem>
      <errorID>2bc1b6ba-89f5-4169-b248-c6910fd26cb4</errorID>
      <errorWord>*</errorWord>
      <group>L1_Punc</group>
      <groupName>标点问题</groupName>
      <ability>L2_Punc</ability>
      <abilityName>标点符号检查</abilityName>
      <candidateList/>
      <explain/>
      <paraID>1C3F42D2</paraID>
      <start>0</start>
      <end>1</end>
      <status>unmodified</status>
      <modifiedWord/>
      <trackRevisions>false</trackRevisions>
    </reviewItem>
    <reviewItem>
      <errorID>1f21d879-6b77-4240-8f25-4d04d308e64c</errorID>
      <errorWord>*</errorWord>
      <group>L1_Punc</group>
      <groupName>标点问题</groupName>
      <ability>L2_Punc</ability>
      <abilityName>标点符号检查</abilityName>
      <candidateList/>
      <explain/>
      <paraID>41F3229E</paraID>
      <start>0</start>
      <end>1</end>
      <status>unmodified</status>
      <modifiedWord/>
      <trackRevisions>false</trackRevisions>
    </reviewItem>
    <reviewItem>
      <errorID>d31da784-e6ba-4a69-8b09-bb33a7e7a2fa</errorID>
      <errorWord>股东大会</errorWord>
      <group>L1_Word</group>
      <groupName>字词问题</groupName>
      <ability>L2_Typo</ability>
      <abilityName>字词错误</abilityName>
      <candidateList>
        <item>股东会</item>
      </candidateList>
      <explain/>
      <paraID>1E499743</paraID>
      <start>41</start>
      <end>45</end>
      <status>unmodified</status>
      <modifiedWord/>
      <trackRevisions>false</trackRevisions>
    </reviewItem>
    <reviewItem>
      <errorID>a3b4e834-ca8b-4391-ba41-d8cfe0d4f27a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F298F4C</paraID>
      <start>0</start>
      <end>2</end>
      <status>unmodified</status>
      <modifiedWord/>
      <trackRevisions>false</trackRevisions>
    </reviewItem>
    <reviewItem>
      <errorID>1059f8c0-9a62-4357-9ad1-cf0f39b93b12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5E10D946</paraID>
      <start>0</start>
      <end>2</end>
      <status>unmodified</status>
      <modifiedWord/>
      <trackRevisions>false</trackRevisions>
    </reviewItem>
    <reviewItem>
      <errorID>36dd7d7b-880d-4c46-a57a-fa8ec3851190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1B640AD2</paraID>
      <start>0</start>
      <end>2</end>
      <status>unmodified</status>
      <modifiedWord/>
      <trackRevisions>false</trackRevisions>
    </reviewItem>
    <reviewItem>
      <errorID>1c8e1f81-292f-4a9f-811d-708692e85720</errorID>
      <errorWord>*</errorWord>
      <group>L1_Punc</group>
      <groupName>标点问题</groupName>
      <ability>L2_Punc</ability>
      <abilityName>标点符号检查</abilityName>
      <candidateList/>
      <explain/>
      <paraID>487A8F7D</paraID>
      <start>0</start>
      <end>1</end>
      <status>unmodified</status>
      <modifiedWord/>
      <trackRevisions>false</trackRevisions>
    </reviewItem>
    <reviewItem>
      <errorID>82869f04-ce4a-4efc-b03e-4c1bc2dbe064</errorID>
      <errorWord>*</errorWord>
      <group>L1_Punc</group>
      <groupName>标点问题</groupName>
      <ability>L2_Punc</ability>
      <abilityName>标点符号检查</abilityName>
      <candidateList/>
      <explain/>
      <paraID>20DF7D9D</paraID>
      <start>0</start>
      <end>1</end>
      <status>unmodified</status>
      <modifiedWord/>
      <trackRevisions>false</trackRevisions>
    </reviewItem>
    <reviewItem>
      <errorID>4e6a4901-6496-4ace-96d8-f32eb7ab855f</errorID>
      <errorWord>*</errorWord>
      <group>L1_Punc</group>
      <groupName>标点问题</groupName>
      <ability>L2_Punc</ability>
      <abilityName>标点符号检查</abilityName>
      <candidateList/>
      <explain/>
      <paraID>744E3E3C</paraID>
      <start>0</start>
      <end>1</end>
      <status>unmodified</status>
      <modifiedWord/>
      <trackRevisions>false</trackRevisions>
    </reviewItem>
    <reviewItem>
      <errorID>2332fd26-6e51-4d3f-a841-97198fa0721f</errorID>
      <errorWord>*</errorWord>
      <group>L1_Punc</group>
      <groupName>标点问题</groupName>
      <ability>L2_Punc</ability>
      <abilityName>标点符号检查</abilityName>
      <candidateList/>
      <explain/>
      <paraID>78B6711D</paraID>
      <start>0</start>
      <end>1</end>
      <status>unmodified</status>
      <modifiedWord/>
      <trackRevisions>false</trackRevisions>
    </reviewItem>
    <reviewItem>
      <errorID>0caeeb24-f52d-4af0-9b1e-9d500ccf589e</errorID>
      <errorWord>机</errorWord>
      <group>L1_Word</group>
      <groupName>字词问题</groupName>
      <ability>L2_Typo</ability>
      <abilityName>字词错误</abilityName>
      <candidateList>
        <item>机制</item>
      </candidateList>
      <explain/>
      <paraID>5EBB9FD2</paraID>
      <start>30</start>
      <end>31</end>
      <status>unmodified</status>
      <modifiedWord/>
      <trackRevisions>false</trackRevisions>
    </reviewItem>
    <reviewItem>
      <errorID>e46b3f10-b82f-49c9-9f15-eceb9053dea0</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4EC5A0CF</paraID>
      <start>6</start>
      <end>9</end>
      <status>unmodified</status>
      <modifiedWord/>
      <trackRevisions>false</trackRevisions>
    </reviewItem>
    <reviewItem>
      <errorID>9324dc63-d612-4f28-904d-b93802f1ce89</errorID>
      <errorWord>《山东好当家海洋发展股份有限公司章程》（以下简称“《公司章程》”）</errorWord>
      <group>L1_Knowledge</group>
      <groupName>知识性问题</groupName>
      <ability>L2_Knowledge</ability>
      <abilityName>其他知识</abilityName>
      <candidateList>
        <item>《山东好当家海洋发展股份有限公司章程》（以下简称《公司章程》）</item>
      </candidateList>
      <explain>疑似政策文件、法律法规名称等书写不规范，请注意检查。</explain>
      <paraID> 772D291</paraID>
      <start>205</start>
      <end>238</end>
      <status>unmodified</status>
      <modifiedWord/>
      <trackRevisions>false</trackRevisions>
    </reviewItem>
    <reviewItem>
      <errorID>e8f4cddf-dd9d-485f-8111-a33ee764e527</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37B0802C</paraID>
      <start>6</start>
      <end>9</end>
      <status>unmodified</status>
      <modifiedWord/>
      <trackRevisions>false</trackRevisions>
    </reviewItem>
    <reviewItem>
      <errorID>8606eb8f-320b-4bb6-bd8b-54c4c51f04c9</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 B469AA0</paraID>
      <start>42</start>
      <end>45</end>
      <status>unmodified</status>
      <modifiedWord/>
      <trackRevisions>false</trackRevisions>
    </reviewItem>
    <reviewItem>
      <errorID>aebcabc8-70e1-498a-b452-9674c1bb2648</errorID>
      <errorWord>》</errorWord>
      <group>L1_Word</group>
      <groupName>字词问题</groupName>
      <ability>L2_Typo</ability>
      <abilityName>字词错误</abilityName>
      <candidateList>
        <item>》等</item>
      </candidateList>
      <explain/>
      <paraID> B469AA0</paraID>
      <start>52</start>
      <end>53</end>
      <status>unmodified</status>
      <modifiedWord/>
      <trackRevisions>false</trackRevisions>
    </reviewItem>
    <reviewItem>
      <errorID>4917e5f4-e3b0-44db-a182-0e11fc9f5fa1</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11CE3D9E</paraID>
      <start>42</start>
      <end>43</end>
      <status>unmodified</status>
      <modifiedWord/>
      <trackRevisions>false</trackRevisions>
    </reviewItem>
    <reviewItem>
      <errorID>00631d78-a449-4042-a46b-279c635b5f81</errorID>
      <errorWord>法律、法规</errorWord>
      <group>L1_Word</group>
      <groupName>字词问题</groupName>
      <ability>L2_Typo</ability>
      <abilityName>字词错误</abilityName>
      <candidateList>
        <item>法律法规</item>
      </candidateList>
      <explain/>
      <paraID> 950E1D9</paraID>
      <start>55</start>
      <end>60</end>
      <status>unmodified</status>
      <modifiedWord/>
      <trackRevisions>false</trackRevisions>
    </reviewItem>
    <reviewItem>
      <errorID>57e0cdaf-363e-4e11-a324-b4385552573d</errorID>
      <errorWord>法律、法规</errorWord>
      <group>L1_Word</group>
      <groupName>字词问题</groupName>
      <ability>L2_Typo</ability>
      <abilityName>字词错误</abilityName>
      <candidateList>
        <item>法律法规</item>
      </candidateList>
      <explain/>
      <paraID> 950E1D9</paraID>
      <start>87</start>
      <end>92</end>
      <status>unmodified</status>
      <modifiedWord/>
      <trackRevisions>false</trackRevisions>
    </reviewItem>
    <reviewItem>
      <errorID>968cdf71-7a48-4331-86f5-3c9e19a24514</errorID>
      <errorWord>*</errorWord>
      <group>L1_Punc</group>
      <groupName>标点问题</groupName>
      <ability>L2_Punc</ability>
      <abilityName>标点符号检查</abilityName>
      <candidateList/>
      <explain/>
      <paraID>7F634CD1</paraID>
      <start>0</start>
      <end>1</end>
      <status>unmodified</status>
      <modifiedWord/>
      <trackRevisions>false</trackRevisions>
    </reviewItem>
    <reviewItem>
      <errorID>aebbf9b3-e0ef-4026-b1a5-76f0eb4ab44d</errorID>
      <errorWord>*</errorWord>
      <group>L1_Punc</group>
      <groupName>标点问题</groupName>
      <ability>L2_Punc</ability>
      <abilityName>标点符号检查</abilityName>
      <candidateList/>
      <explain/>
      <paraID>1F86D7CD</paraID>
      <start>0</start>
      <end>1</end>
      <status>unmodified</status>
      <modifiedWord/>
      <trackRevisions>false</trackRevisions>
    </reviewItem>
    <reviewItem>
      <errorID>e0289e82-4be0-470f-ae47-1574a45e31e5</errorID>
      <errorWord>其它</errorWord>
      <group>L1_Word</group>
      <groupName>字词问题</groupName>
      <ability>L2_Alias</ability>
      <abilityName>也作/曾用词</abilityName>
      <candidateList>
        <item>其他</item>
      </candidateList>
      <explain>词汇[其它]为不规范表述或旧称，其规范书面表述为[其他]。</explain>
      <paraID>23AF1089</paraID>
      <start>12</start>
      <end>14</end>
      <status>unmodified</status>
      <modifiedWord/>
      <trackRevisions>false</trackRevisions>
    </reviewItem>
    <reviewItem>
      <errorID>41d898c2-f486-453d-a8bb-d352ac307a51</errorID>
      <errorWord>与实施与</errorWord>
      <group>L1_Word</group>
      <groupName>字词问题</groupName>
      <ability>L2_Typo</ability>
      <abilityName>字词错误</abilityName>
      <candidateList>
        <item>与实施</item>
      </candidateList>
      <explain/>
      <paraID>7595B883</paraID>
      <start>123</start>
      <end>127</end>
      <status>unmodified</status>
      <modifiedWord/>
      <trackRevisions>false</trackRevisions>
    </reviewItem>
    <reviewItem>
      <errorID>6008464a-a638-4b55-9178-36da46a6ee95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59CA5845</paraID>
      <start>0</start>
      <end>2</end>
      <status>unmodified</status>
      <modifiedWord/>
      <trackRevisions>false</trackRevisions>
    </reviewItem>
    <reviewItem>
      <errorID>373e0495-e184-49b5-8177-885b067c36eb</errorID>
      <errorWord>法律、法规</errorWord>
      <group>L1_Word</group>
      <groupName>字词问题</groupName>
      <ability>L2_Typo</ability>
      <abilityName>字词错误</abilityName>
      <candidateList>
        <item>法律法规</item>
      </candidateList>
      <explain/>
      <paraID>59CA5845</paraID>
      <start>5</start>
      <end>10</end>
      <status>unmodified</status>
      <modifiedWord/>
      <trackRevisions>false</trackRevisions>
    </reviewItem>
    <reviewItem>
      <errorID>a106d9b9-fe68-4b56-98b7-6b3d4ebbbf42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4B3D7C23</paraID>
      <start>0</start>
      <end>2</end>
      <status>unmodified</status>
      <modifiedWord/>
      <trackRevisions>false</trackRevisions>
    </reviewItem>
    <reviewItem>
      <errorID>5ba78823-f80f-401b-926a-b3888a1ba900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1BD53020</paraID>
      <start>0</start>
      <end>2</end>
      <status>unmodified</status>
      <modifiedWord/>
      <trackRevisions>false</trackRevisions>
    </reviewItem>
    <reviewItem>
      <errorID>f8420784-c109-46cc-b42b-ff4dfce7d9b5</errorID>
      <errorWord>国家发改委</errorWord>
      <group>L1_Knowledge</group>
      <groupName>知识性问题</groupName>
      <ability>L2_Knowledge</ability>
      <abilityName>其他知识</abilityName>
      <candidateList>
        <item>国家发展改革委</item>
      </candidateList>
      <explain/>
      <paraID>1BD53020</paraID>
      <start>48</start>
      <end>53</end>
      <status>unmodified</status>
      <modifiedWord/>
      <trackRevisions>false</trackRevisions>
    </reviewItem>
    <reviewItem>
      <errorID>cc372b88-93fc-4287-9ea0-08fced0ba2e5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706BA45B</paraID>
      <start>0</start>
      <end>2</end>
      <status>unmodified</status>
      <modifiedWord/>
      <trackRevisions>false</trackRevisions>
    </reviewItem>
    <reviewItem>
      <errorID>a06841c6-cc2f-48de-a911-22b0060935f7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5BE7652A</paraID>
      <start>0</start>
      <end>2</end>
      <status>unmodified</status>
      <modifiedWord/>
      <trackRevisions>false</trackRevisions>
    </reviewItem>
    <reviewItem>
      <errorID>ef47103c-470d-4ca0-aff7-6cf45852c572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366B6A00</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56A44851-692D-46C4-B309-AB89D67F16E1}">
  <ds:schemaRefs/>
</ds:datastoreItem>
</file>

<file path=docProps/app.xml><?xml version="1.0" encoding="utf-8"?>
<Properties xmlns="http://schemas.openxmlformats.org/officeDocument/2006/extended-properties" xmlns:vt="http://schemas.openxmlformats.org/officeDocument/2006/docPropsVTypes">
  <Template>Normal</Template>
  <Pages>55</Pages>
  <Words>4232</Words>
  <Characters>4586</Characters>
  <Lines>274</Lines>
  <Paragraphs>77</Paragraphs>
  <TotalTime>81</TotalTime>
  <ScaleCrop>false</ScaleCrop>
  <LinksUpToDate>false</LinksUpToDate>
  <CharactersWithSpaces>4804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2025-05-08T02:14:00Z</dcterms:created>
  <dc:creator>g h</dc:creator>
  <cp:lastModifiedBy>行者</cp:lastModifiedBy>
  <cp:lastPrinted>2026-05-11T00:36:31Z</cp:lastPrinted>
  <dcterms:modified xsi:type="dcterms:W3CDTF">2026-05-11T01:06:18Z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eyJoZGlkIjoiNGQ4NDc3Y2I3NjBlYzYyMTdiZTYyZTRlOTI4NjhiZmEiLCJ1c2VySWQiOiIyNjQ5ODE4NDgifQ==</vt:lpwstr>
  </property>
  <property fmtid="{D5CDD505-2E9C-101B-9397-08002B2CF9AE}" pid="3" name="KSOProductBuildVer">
    <vt:lpwstr>2052-12.1.0.25865</vt:lpwstr>
  </property>
  <property fmtid="{D5CDD505-2E9C-101B-9397-08002B2CF9AE}" pid="4" name="ICV">
    <vt:lpwstr>C46398FB3EA74E09BE006C9EEEBB58B0_13</vt:lpwstr>
  </property>
</Properties>
</file>