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9C12E">
      <w:pPr>
        <w:spacing w:line="360" w:lineRule="auto"/>
        <w:rPr>
          <w:rFonts w:hint="default" w:ascii="黑体" w:eastAsia="黑体"/>
          <w:sz w:val="24"/>
          <w:lang w:val="en-US" w:eastAsia="zh-CN"/>
        </w:rPr>
      </w:pPr>
      <w:r>
        <w:rPr>
          <w:rFonts w:hint="eastAsia" w:ascii="黑体" w:eastAsia="黑体"/>
          <w:sz w:val="24"/>
        </w:rPr>
        <w:t>证券代码：600467       股票简称：好 当 家        公告编号：临202</w:t>
      </w:r>
      <w:r>
        <w:rPr>
          <w:rFonts w:hint="eastAsia" w:ascii="黑体" w:eastAsia="黑体"/>
          <w:sz w:val="24"/>
          <w:lang w:val="en-US" w:eastAsia="zh-CN"/>
        </w:rPr>
        <w:t>6</w:t>
      </w:r>
      <w:r>
        <w:rPr>
          <w:rFonts w:hint="eastAsia" w:ascii="黑体" w:eastAsia="黑体"/>
          <w:sz w:val="24"/>
        </w:rPr>
        <w:t>-0</w:t>
      </w:r>
      <w:r>
        <w:rPr>
          <w:rFonts w:hint="eastAsia" w:ascii="黑体" w:eastAsia="黑体"/>
          <w:sz w:val="24"/>
          <w:lang w:val="en-US" w:eastAsia="zh-CN"/>
        </w:rPr>
        <w:t>20</w:t>
      </w:r>
    </w:p>
    <w:p w14:paraId="1C44C393">
      <w:pPr>
        <w:spacing w:line="360" w:lineRule="auto"/>
        <w:jc w:val="center"/>
        <w:rPr>
          <w:rFonts w:ascii="黑体" w:eastAsia="黑体"/>
          <w:b/>
          <w:sz w:val="36"/>
          <w:szCs w:val="36"/>
        </w:rPr>
      </w:pPr>
    </w:p>
    <w:p w14:paraId="150FAB48">
      <w:pPr>
        <w:spacing w:line="360" w:lineRule="auto"/>
        <w:jc w:val="center"/>
        <w:rPr>
          <w:rFonts w:ascii="黑体" w:eastAsia="黑体"/>
          <w:b/>
          <w:sz w:val="36"/>
          <w:szCs w:val="36"/>
        </w:rPr>
      </w:pPr>
      <w:r>
        <w:rPr>
          <w:rFonts w:hint="eastAsia" w:ascii="黑体" w:eastAsia="黑体"/>
          <w:b/>
          <w:sz w:val="36"/>
          <w:szCs w:val="36"/>
        </w:rPr>
        <w:t>山东好当家海洋发展股份有限公司</w:t>
      </w:r>
    </w:p>
    <w:p w14:paraId="152AAA92">
      <w:pPr>
        <w:pStyle w:val="8"/>
        <w:jc w:val="center"/>
        <w:rPr>
          <w:rFonts w:ascii="黑体" w:eastAsia="黑体"/>
          <w:b/>
          <w:sz w:val="36"/>
          <w:szCs w:val="36"/>
        </w:rPr>
      </w:pPr>
      <w:r>
        <w:rPr>
          <w:rFonts w:hint="eastAsia" w:ascii="黑体" w:eastAsia="黑体"/>
          <w:b/>
          <w:sz w:val="36"/>
          <w:szCs w:val="36"/>
        </w:rPr>
        <w:t>关于控股股东进行股票质押的公告</w:t>
      </w:r>
    </w:p>
    <w:p w14:paraId="20DE6C79">
      <w:pPr>
        <w:spacing w:line="360" w:lineRule="auto"/>
        <w:jc w:val="center"/>
        <w:rPr>
          <w:rFonts w:ascii="黑体" w:eastAsia="黑体"/>
          <w:sz w:val="24"/>
        </w:rPr>
      </w:pPr>
    </w:p>
    <w:p w14:paraId="0FF411BC">
      <w:pPr>
        <w:adjustRightInd w:val="0"/>
        <w:spacing w:line="440" w:lineRule="exact"/>
        <w:ind w:firstLine="420" w:firstLineChars="200"/>
        <w:rPr>
          <w:szCs w:val="21"/>
        </w:rPr>
      </w:pPr>
      <w:r>
        <w:rPr>
          <w:rFonts w:hint="eastAsia"/>
          <w:szCs w:val="21"/>
        </w:rPr>
        <w:t>本公司董事会及全体董事保证本公告内容不存在任何虚假记载、误导性陈述或者重大遗漏，并对其内容的真实性、准确性和完整性承担个别及连带责任。</w:t>
      </w:r>
    </w:p>
    <w:p w14:paraId="2159207B">
      <w:pPr>
        <w:adjustRightInd w:val="0"/>
        <w:spacing w:line="440" w:lineRule="exact"/>
        <w:ind w:firstLine="420" w:firstLineChars="200"/>
        <w:rPr>
          <w:szCs w:val="21"/>
        </w:rPr>
      </w:pPr>
    </w:p>
    <w:p w14:paraId="733FD796">
      <w:pPr>
        <w:pStyle w:val="8"/>
        <w:spacing w:line="500" w:lineRule="exact"/>
        <w:ind w:firstLine="482" w:firstLineChars="200"/>
        <w:rPr>
          <w:rFonts w:hint="eastAsia" w:ascii="宋体" w:hAnsi="宋体" w:eastAsia="宋体"/>
          <w:b/>
        </w:rPr>
      </w:pPr>
      <w:r>
        <w:rPr>
          <w:rFonts w:hint="eastAsia" w:ascii="宋体" w:hAnsi="宋体" w:eastAsia="宋体"/>
          <w:b/>
        </w:rPr>
        <w:t>重要内容提示：</w:t>
      </w:r>
    </w:p>
    <w:p w14:paraId="733E8B94">
      <w:pPr>
        <w:pStyle w:val="8"/>
        <w:spacing w:line="500" w:lineRule="exact"/>
        <w:ind w:firstLine="482" w:firstLineChars="200"/>
        <w:rPr>
          <w:rFonts w:hint="eastAsia" w:ascii="宋体" w:hAnsi="宋体" w:eastAsia="宋体"/>
          <w:b/>
          <w:highlight w:val="none"/>
        </w:rPr>
      </w:pPr>
      <w:r>
        <w:rPr>
          <w:rFonts w:hint="eastAsia" w:ascii="宋体" w:hAnsi="宋体" w:eastAsia="宋体"/>
          <w:b/>
        </w:rPr>
        <w:t>●</w:t>
      </w:r>
      <w:r>
        <w:rPr>
          <w:rFonts w:hint="eastAsia" w:ascii="宋体" w:hAnsi="宋体" w:eastAsia="宋体"/>
        </w:rPr>
        <w:t>山东好当家海洋发展股份有限公司（以下简称“公司”）控股股东好当家集团有限公司（以下简称“好当家集团”）持有公司的股</w:t>
      </w:r>
      <w:r>
        <w:rPr>
          <w:rFonts w:hint="eastAsia" w:ascii="宋体" w:hAnsi="宋体" w:eastAsia="宋体"/>
          <w:highlight w:val="none"/>
        </w:rPr>
        <w:t>份总数为</w:t>
      </w:r>
      <w:r>
        <w:rPr>
          <w:rFonts w:ascii="宋体" w:hAnsi="宋体" w:eastAsia="宋体"/>
          <w:color w:val="auto"/>
          <w:highlight w:val="none"/>
        </w:rPr>
        <w:t>5</w:t>
      </w:r>
      <w:r>
        <w:rPr>
          <w:rFonts w:hint="eastAsia" w:ascii="宋体" w:hAnsi="宋体" w:eastAsia="宋体"/>
          <w:color w:val="auto"/>
          <w:highlight w:val="none"/>
          <w:lang w:val="en-US" w:eastAsia="zh-CN"/>
        </w:rPr>
        <w:t>34</w:t>
      </w:r>
      <w:r>
        <w:rPr>
          <w:rFonts w:ascii="宋体" w:hAnsi="宋体" w:eastAsia="宋体"/>
          <w:color w:val="auto"/>
          <w:highlight w:val="none"/>
        </w:rPr>
        <w:t>,</w:t>
      </w:r>
      <w:r>
        <w:rPr>
          <w:rFonts w:hint="eastAsia" w:ascii="宋体" w:hAnsi="宋体" w:eastAsia="宋体"/>
          <w:color w:val="auto"/>
          <w:highlight w:val="none"/>
          <w:lang w:val="en-US" w:eastAsia="zh-CN"/>
        </w:rPr>
        <w:t>950</w:t>
      </w:r>
      <w:r>
        <w:rPr>
          <w:rFonts w:ascii="宋体" w:hAnsi="宋体" w:eastAsia="宋体"/>
          <w:color w:val="auto"/>
          <w:highlight w:val="none"/>
        </w:rPr>
        <w:t>,</w:t>
      </w:r>
      <w:r>
        <w:rPr>
          <w:rFonts w:hint="eastAsia" w:ascii="宋体" w:hAnsi="宋体" w:eastAsia="宋体"/>
          <w:color w:val="auto"/>
          <w:highlight w:val="none"/>
          <w:lang w:val="en-US" w:eastAsia="zh-CN"/>
        </w:rPr>
        <w:t>9</w:t>
      </w:r>
      <w:r>
        <w:rPr>
          <w:rFonts w:hint="eastAsia" w:ascii="宋体" w:hAnsi="宋体" w:eastAsia="宋体"/>
          <w:color w:val="auto"/>
          <w:highlight w:val="none"/>
        </w:rPr>
        <w:t>90股，占公司总股本1</w:t>
      </w:r>
      <w:r>
        <w:rPr>
          <w:rFonts w:ascii="宋体" w:hAnsi="宋体" w:eastAsia="宋体"/>
          <w:color w:val="auto"/>
          <w:highlight w:val="none"/>
        </w:rPr>
        <w:t>,</w:t>
      </w:r>
      <w:r>
        <w:rPr>
          <w:rFonts w:hint="eastAsia" w:ascii="宋体" w:hAnsi="宋体" w:eastAsia="宋体"/>
          <w:color w:val="auto"/>
          <w:highlight w:val="none"/>
        </w:rPr>
        <w:t>460</w:t>
      </w:r>
      <w:r>
        <w:rPr>
          <w:rFonts w:ascii="宋体" w:hAnsi="宋体" w:eastAsia="宋体"/>
          <w:color w:val="auto"/>
          <w:highlight w:val="none"/>
        </w:rPr>
        <w:t>,</w:t>
      </w:r>
      <w:r>
        <w:rPr>
          <w:rFonts w:hint="eastAsia" w:ascii="宋体" w:hAnsi="宋体" w:eastAsia="宋体"/>
          <w:color w:val="auto"/>
          <w:highlight w:val="none"/>
        </w:rPr>
        <w:t>994</w:t>
      </w:r>
      <w:r>
        <w:rPr>
          <w:rFonts w:ascii="宋体" w:hAnsi="宋体" w:eastAsia="宋体"/>
          <w:color w:val="auto"/>
          <w:highlight w:val="none"/>
        </w:rPr>
        <w:t>,</w:t>
      </w:r>
      <w:r>
        <w:rPr>
          <w:rFonts w:hint="eastAsia" w:ascii="宋体" w:hAnsi="宋体" w:eastAsia="宋体"/>
          <w:color w:val="auto"/>
          <w:highlight w:val="none"/>
        </w:rPr>
        <w:t>304股的</w:t>
      </w:r>
      <w:r>
        <w:rPr>
          <w:rFonts w:ascii="宋体" w:hAnsi="宋体" w:eastAsia="宋体"/>
          <w:color w:val="auto"/>
          <w:highlight w:val="none"/>
        </w:rPr>
        <w:t>3</w:t>
      </w:r>
      <w:r>
        <w:rPr>
          <w:rFonts w:hint="eastAsia" w:ascii="宋体" w:hAnsi="宋体" w:eastAsia="宋体"/>
          <w:color w:val="auto"/>
          <w:highlight w:val="none"/>
          <w:lang w:val="en-US" w:eastAsia="zh-CN"/>
        </w:rPr>
        <w:t>6</w:t>
      </w:r>
      <w:r>
        <w:rPr>
          <w:rFonts w:ascii="宋体" w:hAnsi="宋体" w:eastAsia="宋体"/>
          <w:color w:val="auto"/>
          <w:highlight w:val="none"/>
        </w:rPr>
        <w:t>.</w:t>
      </w:r>
      <w:r>
        <w:rPr>
          <w:rFonts w:hint="eastAsia" w:ascii="宋体" w:hAnsi="宋体" w:eastAsia="宋体"/>
          <w:color w:val="auto"/>
          <w:highlight w:val="none"/>
          <w:lang w:val="en-US" w:eastAsia="zh-CN"/>
        </w:rPr>
        <w:t>62</w:t>
      </w:r>
      <w:r>
        <w:rPr>
          <w:rFonts w:ascii="宋体" w:hAnsi="宋体" w:eastAsia="宋体"/>
          <w:color w:val="auto"/>
          <w:highlight w:val="none"/>
        </w:rPr>
        <w:t>%</w:t>
      </w:r>
      <w:r>
        <w:rPr>
          <w:rFonts w:hint="eastAsia" w:ascii="宋体" w:hAnsi="宋体" w:eastAsia="宋体"/>
          <w:color w:val="auto"/>
          <w:highlight w:val="none"/>
        </w:rPr>
        <w:t>。</w:t>
      </w:r>
    </w:p>
    <w:p w14:paraId="417D90CC">
      <w:pPr>
        <w:pStyle w:val="8"/>
        <w:spacing w:line="500" w:lineRule="exact"/>
        <w:ind w:firstLine="482" w:firstLineChars="200"/>
        <w:rPr>
          <w:rFonts w:hint="eastAsia" w:ascii="宋体" w:hAnsi="宋体" w:eastAsia="宋体"/>
          <w:color w:val="auto"/>
          <w:highlight w:val="none"/>
        </w:rPr>
      </w:pPr>
      <w:r>
        <w:rPr>
          <w:rFonts w:hint="eastAsia" w:ascii="宋体" w:hAnsi="宋体" w:eastAsia="宋体"/>
          <w:b/>
          <w:highlight w:val="none"/>
        </w:rPr>
        <w:t>●</w:t>
      </w:r>
      <w:r>
        <w:rPr>
          <w:rFonts w:hint="eastAsia" w:ascii="宋体" w:hAnsi="宋体" w:eastAsia="宋体"/>
          <w:highlight w:val="none"/>
        </w:rPr>
        <w:t>本次质押后，好当家集团持有公司股份累计质押数量（含本次）</w:t>
      </w:r>
      <w:r>
        <w:rPr>
          <w:rFonts w:hint="eastAsia" w:ascii="宋体" w:hAnsi="宋体" w:eastAsia="宋体"/>
          <w:color w:val="auto"/>
          <w:highlight w:val="none"/>
          <w:lang w:val="en-US" w:eastAsia="zh-CN"/>
        </w:rPr>
        <w:t>331</w:t>
      </w:r>
      <w:r>
        <w:rPr>
          <w:rFonts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41</w:t>
      </w:r>
      <w:r>
        <w:rPr>
          <w:rFonts w:ascii="宋体" w:hAnsi="宋体" w:eastAsia="宋体"/>
          <w:color w:val="auto"/>
          <w:highlight w:val="none"/>
        </w:rPr>
        <w:t>,</w:t>
      </w:r>
      <w:r>
        <w:rPr>
          <w:rFonts w:hint="eastAsia" w:ascii="宋体" w:hAnsi="宋体" w:eastAsia="宋体"/>
          <w:color w:val="auto"/>
          <w:highlight w:val="none"/>
        </w:rPr>
        <w:t>400股，占其所持公司股份总数的6</w:t>
      </w:r>
      <w:r>
        <w:rPr>
          <w:rFonts w:hint="eastAsia" w:ascii="宋体" w:hAnsi="宋体" w:eastAsia="宋体"/>
          <w:color w:val="auto"/>
          <w:highlight w:val="none"/>
          <w:lang w:val="en-US" w:eastAsia="zh-CN"/>
        </w:rPr>
        <w:t>1</w:t>
      </w:r>
      <w:r>
        <w:rPr>
          <w:rFonts w:hint="eastAsia" w:ascii="宋体" w:hAnsi="宋体" w:eastAsia="宋体"/>
          <w:color w:val="auto"/>
          <w:highlight w:val="none"/>
        </w:rPr>
        <w:t>.</w:t>
      </w:r>
      <w:r>
        <w:rPr>
          <w:rFonts w:hint="eastAsia" w:ascii="宋体" w:hAnsi="宋体" w:eastAsia="宋体"/>
          <w:color w:val="auto"/>
          <w:highlight w:val="none"/>
          <w:lang w:val="en-US" w:eastAsia="zh-CN"/>
        </w:rPr>
        <w:t>96</w:t>
      </w:r>
      <w:r>
        <w:rPr>
          <w:rFonts w:ascii="宋体" w:hAnsi="宋体" w:eastAsia="宋体"/>
          <w:color w:val="auto"/>
          <w:highlight w:val="none"/>
        </w:rPr>
        <w:t>%</w:t>
      </w:r>
      <w:r>
        <w:rPr>
          <w:rFonts w:hint="eastAsia" w:ascii="宋体" w:hAnsi="宋体" w:eastAsia="宋体"/>
          <w:color w:val="auto"/>
          <w:highlight w:val="none"/>
        </w:rPr>
        <w:t>，占公司总股本的2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val="en-US" w:eastAsia="zh-CN"/>
        </w:rPr>
        <w:t>69</w:t>
      </w:r>
      <w:r>
        <w:rPr>
          <w:rFonts w:ascii="宋体" w:hAnsi="宋体" w:eastAsia="宋体"/>
          <w:color w:val="auto"/>
          <w:highlight w:val="none"/>
        </w:rPr>
        <w:t>%</w:t>
      </w:r>
      <w:r>
        <w:rPr>
          <w:rFonts w:hint="eastAsia" w:ascii="宋体" w:hAnsi="宋体" w:eastAsia="宋体"/>
          <w:color w:val="auto"/>
          <w:highlight w:val="none"/>
        </w:rPr>
        <w:t>。</w:t>
      </w:r>
    </w:p>
    <w:p w14:paraId="0928A879">
      <w:pPr>
        <w:pStyle w:val="8"/>
        <w:spacing w:line="500" w:lineRule="exact"/>
        <w:ind w:firstLine="480" w:firstLineChars="200"/>
        <w:rPr>
          <w:rFonts w:hint="eastAsia" w:ascii="宋体" w:hAnsi="宋体" w:eastAsia="宋体"/>
          <w:color w:val="auto"/>
          <w:highlight w:val="none"/>
        </w:rPr>
      </w:pPr>
    </w:p>
    <w:p w14:paraId="77D3CC92">
      <w:pPr>
        <w:pStyle w:val="8"/>
        <w:spacing w:line="500" w:lineRule="exact"/>
        <w:ind w:firstLine="480" w:firstLineChars="200"/>
        <w:rPr>
          <w:rFonts w:hint="eastAsia" w:ascii="宋体" w:hAnsi="宋体" w:eastAsia="宋体"/>
          <w:color w:val="auto"/>
          <w:highlight w:val="none"/>
        </w:rPr>
      </w:pPr>
      <w:r>
        <w:rPr>
          <w:rFonts w:hint="eastAsia" w:ascii="宋体" w:hAnsi="宋体" w:eastAsia="宋体"/>
          <w:color w:val="auto"/>
          <w:highlight w:val="none"/>
        </w:rPr>
        <w:t>公司于近日接到控股股东好当家集团的通知，好当家集团于202</w:t>
      </w:r>
      <w:r>
        <w:rPr>
          <w:rFonts w:hint="eastAsia" w:ascii="宋体" w:hAnsi="宋体" w:eastAsia="宋体"/>
          <w:color w:val="auto"/>
          <w:highlight w:val="none"/>
          <w:lang w:val="en-US" w:eastAsia="zh-CN"/>
        </w:rPr>
        <w:t>6</w:t>
      </w:r>
      <w:r>
        <w:rPr>
          <w:rFonts w:hint="eastAsia" w:ascii="宋体" w:hAnsi="宋体" w:eastAsia="宋体"/>
          <w:color w:val="auto"/>
          <w:highlight w:val="none"/>
        </w:rPr>
        <w:t>年</w:t>
      </w:r>
      <w:r>
        <w:rPr>
          <w:rFonts w:hint="eastAsia" w:ascii="宋体" w:hAnsi="宋体" w:eastAsia="宋体"/>
          <w:color w:val="auto"/>
          <w:highlight w:val="none"/>
          <w:lang w:val="en-US" w:eastAsia="zh-CN"/>
        </w:rPr>
        <w:t>5</w:t>
      </w:r>
      <w:r>
        <w:rPr>
          <w:rFonts w:hint="eastAsia" w:ascii="宋体" w:hAnsi="宋体" w:eastAsia="宋体"/>
          <w:color w:val="auto"/>
          <w:highlight w:val="none"/>
        </w:rPr>
        <w:t>月</w:t>
      </w:r>
      <w:r>
        <w:rPr>
          <w:rFonts w:hint="eastAsia" w:ascii="宋体" w:hAnsi="宋体" w:eastAsia="宋体"/>
          <w:color w:val="auto"/>
          <w:highlight w:val="none"/>
          <w:lang w:val="en-US" w:eastAsia="zh-CN"/>
        </w:rPr>
        <w:t>14</w:t>
      </w:r>
      <w:bookmarkStart w:id="0" w:name="_GoBack"/>
      <w:bookmarkEnd w:id="0"/>
      <w:r>
        <w:rPr>
          <w:rFonts w:hint="eastAsia" w:ascii="宋体" w:hAnsi="宋体" w:eastAsia="宋体"/>
          <w:color w:val="auto"/>
          <w:highlight w:val="none"/>
        </w:rPr>
        <w:t>日办理了</w:t>
      </w:r>
      <w:r>
        <w:rPr>
          <w:rFonts w:hint="eastAsia" w:ascii="宋体" w:hAnsi="宋体" w:eastAsia="宋体"/>
          <w:highlight w:val="none"/>
        </w:rPr>
        <w:t>质</w:t>
      </w:r>
      <w:r>
        <w:rPr>
          <w:rFonts w:hint="eastAsia" w:ascii="宋体" w:hAnsi="宋体" w:eastAsia="宋体"/>
          <w:color w:val="auto"/>
          <w:highlight w:val="none"/>
        </w:rPr>
        <w:t>押业务。具体事项如下：</w:t>
      </w:r>
    </w:p>
    <w:p w14:paraId="135BFA19">
      <w:pPr>
        <w:pStyle w:val="8"/>
        <w:spacing w:line="500" w:lineRule="exact"/>
        <w:ind w:firstLine="602" w:firstLineChars="250"/>
        <w:rPr>
          <w:rFonts w:hint="eastAsia" w:ascii="宋体" w:hAnsi="宋体" w:eastAsia="宋体"/>
          <w:b/>
          <w:bCs/>
          <w:color w:val="auto"/>
          <w:highlight w:val="none"/>
        </w:rPr>
      </w:pPr>
      <w:r>
        <w:rPr>
          <w:rFonts w:hint="eastAsia" w:ascii="宋体" w:hAnsi="宋体" w:eastAsia="宋体"/>
          <w:b/>
          <w:bCs/>
          <w:color w:val="auto"/>
          <w:highlight w:val="none"/>
        </w:rPr>
        <w:t>一、股份质押情况</w:t>
      </w:r>
    </w:p>
    <w:p w14:paraId="4A964AB4">
      <w:pPr>
        <w:pStyle w:val="8"/>
        <w:spacing w:line="500" w:lineRule="exact"/>
        <w:ind w:firstLine="480" w:firstLineChars="200"/>
        <w:rPr>
          <w:rFonts w:hint="eastAsia" w:ascii="宋体" w:hAnsi="宋体" w:eastAsia="宋体"/>
          <w:color w:val="auto"/>
          <w:highlight w:val="none"/>
        </w:rPr>
      </w:pPr>
      <w:r>
        <w:rPr>
          <w:rFonts w:hint="eastAsia" w:ascii="宋体" w:hAnsi="宋体" w:eastAsia="宋体"/>
          <w:color w:val="auto"/>
          <w:highlight w:val="none"/>
        </w:rPr>
        <w:t>202</w:t>
      </w:r>
      <w:r>
        <w:rPr>
          <w:rFonts w:hint="eastAsia" w:ascii="宋体" w:hAnsi="宋体" w:eastAsia="宋体"/>
          <w:color w:val="auto"/>
          <w:highlight w:val="none"/>
          <w:lang w:val="en-US" w:eastAsia="zh-CN"/>
        </w:rPr>
        <w:t>6</w:t>
      </w:r>
      <w:r>
        <w:rPr>
          <w:rFonts w:hint="eastAsia" w:ascii="宋体" w:hAnsi="宋体" w:eastAsia="宋体"/>
          <w:color w:val="auto"/>
          <w:highlight w:val="none"/>
        </w:rPr>
        <w:t>年</w:t>
      </w:r>
      <w:r>
        <w:rPr>
          <w:rFonts w:hint="eastAsia" w:ascii="宋体" w:hAnsi="宋体" w:eastAsia="宋体"/>
          <w:color w:val="auto"/>
          <w:highlight w:val="none"/>
          <w:lang w:val="en-US" w:eastAsia="zh-CN"/>
        </w:rPr>
        <w:t>5</w:t>
      </w:r>
      <w:r>
        <w:rPr>
          <w:rFonts w:hint="eastAsia" w:ascii="宋体" w:hAnsi="宋体" w:eastAsia="宋体"/>
          <w:color w:val="auto"/>
          <w:highlight w:val="none"/>
        </w:rPr>
        <w:t>月</w:t>
      </w:r>
      <w:r>
        <w:rPr>
          <w:rFonts w:hint="eastAsia" w:ascii="宋体" w:hAnsi="宋体" w:eastAsia="宋体"/>
          <w:color w:val="auto"/>
          <w:highlight w:val="none"/>
          <w:lang w:val="en-US" w:eastAsia="zh-CN"/>
        </w:rPr>
        <w:t>14</w:t>
      </w:r>
      <w:r>
        <w:rPr>
          <w:rFonts w:hint="eastAsia" w:ascii="宋体" w:hAnsi="宋体" w:eastAsia="宋体"/>
          <w:color w:val="auto"/>
          <w:highlight w:val="none"/>
        </w:rPr>
        <w:t>日好当家集团有限公司将其持有的本公司</w:t>
      </w:r>
      <w:r>
        <w:rPr>
          <w:rFonts w:hint="eastAsia" w:ascii="宋体" w:hAnsi="宋体" w:eastAsia="宋体"/>
          <w:color w:val="auto"/>
          <w:highlight w:val="none"/>
          <w:lang w:val="en-US" w:eastAsia="zh-CN"/>
        </w:rPr>
        <w:t>12</w:t>
      </w:r>
      <w:r>
        <w:rPr>
          <w:rFonts w:hint="eastAsia" w:ascii="宋体" w:hAnsi="宋体" w:eastAsia="宋体"/>
          <w:color w:val="auto"/>
          <w:highlight w:val="none"/>
        </w:rPr>
        <w:t>,000,000股无限售流通股质押给</w:t>
      </w:r>
      <w:r>
        <w:rPr>
          <w:rFonts w:hint="eastAsia" w:ascii="宋体" w:hAnsi="宋体" w:eastAsia="宋体"/>
          <w:color w:val="auto"/>
          <w:highlight w:val="none"/>
          <w:lang w:val="en-US" w:eastAsia="zh-CN"/>
        </w:rPr>
        <w:t>威海银行股份有限公司荣成支行</w:t>
      </w:r>
      <w:r>
        <w:rPr>
          <w:rFonts w:hint="eastAsia" w:ascii="宋体" w:hAnsi="宋体" w:eastAsia="宋体"/>
          <w:color w:val="auto"/>
          <w:highlight w:val="none"/>
        </w:rPr>
        <w:t>提供质押担保，并于202</w:t>
      </w:r>
      <w:r>
        <w:rPr>
          <w:rFonts w:hint="eastAsia" w:ascii="宋体" w:hAnsi="宋体" w:eastAsia="宋体"/>
          <w:color w:val="auto"/>
          <w:highlight w:val="none"/>
          <w:lang w:val="en-US" w:eastAsia="zh-CN"/>
        </w:rPr>
        <w:t>6</w:t>
      </w:r>
      <w:r>
        <w:rPr>
          <w:rFonts w:hint="eastAsia" w:ascii="宋体" w:hAnsi="宋体" w:eastAsia="宋体"/>
          <w:color w:val="auto"/>
          <w:highlight w:val="none"/>
        </w:rPr>
        <w:t>年</w:t>
      </w:r>
      <w:r>
        <w:rPr>
          <w:rFonts w:hint="eastAsia" w:ascii="宋体" w:hAnsi="宋体" w:eastAsia="宋体"/>
          <w:color w:val="auto"/>
          <w:highlight w:val="none"/>
          <w:lang w:val="en-US" w:eastAsia="zh-CN"/>
        </w:rPr>
        <w:t>5</w:t>
      </w:r>
      <w:r>
        <w:rPr>
          <w:rFonts w:hint="eastAsia" w:ascii="宋体" w:hAnsi="宋体" w:eastAsia="宋体"/>
          <w:color w:val="auto"/>
          <w:highlight w:val="none"/>
        </w:rPr>
        <w:t>月</w:t>
      </w:r>
      <w:r>
        <w:rPr>
          <w:rFonts w:hint="eastAsia" w:ascii="宋体" w:hAnsi="宋体" w:eastAsia="宋体"/>
          <w:color w:val="auto"/>
          <w:highlight w:val="none"/>
          <w:lang w:val="en-US" w:eastAsia="zh-CN"/>
        </w:rPr>
        <w:t>15</w:t>
      </w:r>
      <w:r>
        <w:rPr>
          <w:rFonts w:hint="eastAsia" w:ascii="宋体" w:hAnsi="宋体" w:eastAsia="宋体"/>
          <w:color w:val="auto"/>
          <w:highlight w:val="none"/>
        </w:rPr>
        <w:t>日在中国证券登记结算有限责任公司办理完成质押登记手续，本次质押股份占公司总股本的</w:t>
      </w:r>
      <w:r>
        <w:rPr>
          <w:rFonts w:hint="eastAsia" w:ascii="宋体" w:hAnsi="宋体" w:eastAsia="宋体"/>
          <w:color w:val="auto"/>
          <w:highlight w:val="none"/>
          <w:lang w:val="en-US" w:eastAsia="zh-CN"/>
        </w:rPr>
        <w:t>0</w:t>
      </w:r>
      <w:r>
        <w:rPr>
          <w:rFonts w:hint="eastAsia" w:ascii="宋体" w:hAnsi="宋体" w:eastAsia="宋体"/>
          <w:color w:val="auto"/>
          <w:highlight w:val="none"/>
        </w:rPr>
        <w:t>.</w:t>
      </w:r>
      <w:r>
        <w:rPr>
          <w:rFonts w:hint="eastAsia" w:ascii="宋体" w:hAnsi="宋体" w:eastAsia="宋体"/>
          <w:color w:val="auto"/>
          <w:highlight w:val="none"/>
          <w:lang w:val="en-US" w:eastAsia="zh-CN"/>
        </w:rPr>
        <w:t>82</w:t>
      </w:r>
      <w:r>
        <w:rPr>
          <w:rFonts w:ascii="宋体" w:hAnsi="宋体" w:eastAsia="宋体"/>
          <w:color w:val="auto"/>
          <w:highlight w:val="none"/>
        </w:rPr>
        <w:t>%</w:t>
      </w:r>
      <w:r>
        <w:rPr>
          <w:rFonts w:hint="eastAsia" w:ascii="宋体" w:hAnsi="宋体" w:eastAsia="宋体"/>
          <w:color w:val="auto"/>
          <w:highlight w:val="none"/>
        </w:rPr>
        <w:t>，质押期限自登记日起至质权人向中国证券登记结算有限责任公司申请解除质押登记为止。</w:t>
      </w:r>
    </w:p>
    <w:p w14:paraId="02BCA905">
      <w:pPr>
        <w:pStyle w:val="8"/>
        <w:spacing w:line="500" w:lineRule="exact"/>
        <w:ind w:left="481" w:leftChars="229" w:firstLine="240" w:firstLineChars="100"/>
        <w:rPr>
          <w:rFonts w:hint="eastAsia" w:ascii="宋体" w:hAnsi="宋体" w:eastAsia="宋体"/>
          <w:color w:val="auto"/>
          <w:highlight w:val="none"/>
        </w:rPr>
      </w:pPr>
      <w:r>
        <w:rPr>
          <w:rFonts w:hint="eastAsia" w:ascii="宋体" w:hAnsi="宋体" w:eastAsia="宋体"/>
          <w:color w:val="auto"/>
          <w:highlight w:val="none"/>
        </w:rPr>
        <w:t xml:space="preserve"> </w:t>
      </w:r>
    </w:p>
    <w:p w14:paraId="1AACDF30">
      <w:pPr>
        <w:pStyle w:val="8"/>
        <w:spacing w:line="500" w:lineRule="exact"/>
        <w:rPr>
          <w:rFonts w:hint="eastAsia" w:ascii="宋体" w:hAnsi="宋体" w:eastAsia="宋体"/>
          <w:color w:val="auto"/>
          <w:highlight w:val="none"/>
        </w:rPr>
        <w:sectPr>
          <w:pgSz w:w="11906" w:h="16838"/>
          <w:pgMar w:top="1440" w:right="1800" w:bottom="1440" w:left="1800" w:header="851" w:footer="992" w:gutter="0"/>
          <w:cols w:space="720" w:num="1"/>
          <w:docGrid w:type="lines" w:linePitch="312" w:charSpace="0"/>
        </w:sectPr>
      </w:pPr>
    </w:p>
    <w:tbl>
      <w:tblPr>
        <w:tblStyle w:val="4"/>
        <w:tblpPr w:leftFromText="180" w:rightFromText="180" w:vertAnchor="text" w:horzAnchor="margin" w:tblpXSpec="center" w:tblpY="770"/>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1417"/>
        <w:gridCol w:w="993"/>
        <w:gridCol w:w="992"/>
        <w:gridCol w:w="1701"/>
        <w:gridCol w:w="1701"/>
        <w:gridCol w:w="2268"/>
        <w:gridCol w:w="1134"/>
        <w:gridCol w:w="1134"/>
        <w:gridCol w:w="1559"/>
      </w:tblGrid>
      <w:tr w14:paraId="5871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4FAFB05">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股东名称</w:t>
            </w:r>
          </w:p>
        </w:tc>
        <w:tc>
          <w:tcPr>
            <w:tcW w:w="1134" w:type="dxa"/>
            <w:vAlign w:val="center"/>
          </w:tcPr>
          <w:p w14:paraId="5B7CE3B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是否为控股股东</w:t>
            </w:r>
          </w:p>
        </w:tc>
        <w:tc>
          <w:tcPr>
            <w:tcW w:w="1417" w:type="dxa"/>
            <w:vAlign w:val="center"/>
          </w:tcPr>
          <w:p w14:paraId="6138580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本次质押股数（股）</w:t>
            </w:r>
          </w:p>
        </w:tc>
        <w:tc>
          <w:tcPr>
            <w:tcW w:w="993" w:type="dxa"/>
            <w:vAlign w:val="center"/>
          </w:tcPr>
          <w:p w14:paraId="4995734F">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是否为限售股</w:t>
            </w:r>
          </w:p>
        </w:tc>
        <w:tc>
          <w:tcPr>
            <w:tcW w:w="992" w:type="dxa"/>
            <w:vAlign w:val="center"/>
          </w:tcPr>
          <w:p w14:paraId="05758015">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是否补充质押</w:t>
            </w:r>
          </w:p>
        </w:tc>
        <w:tc>
          <w:tcPr>
            <w:tcW w:w="1701" w:type="dxa"/>
            <w:vAlign w:val="center"/>
          </w:tcPr>
          <w:p w14:paraId="07BF6C11">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质押起始日</w:t>
            </w:r>
          </w:p>
        </w:tc>
        <w:tc>
          <w:tcPr>
            <w:tcW w:w="1701" w:type="dxa"/>
            <w:vAlign w:val="center"/>
          </w:tcPr>
          <w:p w14:paraId="55A171C3">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质押到期日</w:t>
            </w:r>
          </w:p>
        </w:tc>
        <w:tc>
          <w:tcPr>
            <w:tcW w:w="2268" w:type="dxa"/>
            <w:vAlign w:val="center"/>
          </w:tcPr>
          <w:p w14:paraId="2D96186A">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质权人</w:t>
            </w:r>
          </w:p>
        </w:tc>
        <w:tc>
          <w:tcPr>
            <w:tcW w:w="1134" w:type="dxa"/>
            <w:vAlign w:val="center"/>
          </w:tcPr>
          <w:p w14:paraId="7233546D">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占其所持股份比例</w:t>
            </w:r>
          </w:p>
        </w:tc>
        <w:tc>
          <w:tcPr>
            <w:tcW w:w="1134" w:type="dxa"/>
            <w:vAlign w:val="center"/>
          </w:tcPr>
          <w:p w14:paraId="363AC319">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占公司总股本比例</w:t>
            </w:r>
          </w:p>
        </w:tc>
        <w:tc>
          <w:tcPr>
            <w:tcW w:w="1559" w:type="dxa"/>
          </w:tcPr>
          <w:p w14:paraId="075B6656">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质押融资资金用途</w:t>
            </w:r>
          </w:p>
        </w:tc>
      </w:tr>
      <w:tr w14:paraId="227B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81FB72B">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好当家集团有限公司</w:t>
            </w:r>
          </w:p>
        </w:tc>
        <w:tc>
          <w:tcPr>
            <w:tcW w:w="1134" w:type="dxa"/>
          </w:tcPr>
          <w:p w14:paraId="13C2B142">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是</w:t>
            </w:r>
          </w:p>
        </w:tc>
        <w:tc>
          <w:tcPr>
            <w:tcW w:w="1417" w:type="dxa"/>
          </w:tcPr>
          <w:p w14:paraId="2F16F32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12</w:t>
            </w:r>
            <w:r>
              <w:rPr>
                <w:rFonts w:ascii="宋体" w:hAnsi="宋体" w:eastAsia="宋体"/>
                <w:color w:val="auto"/>
                <w:sz w:val="21"/>
                <w:szCs w:val="21"/>
                <w:highlight w:val="none"/>
              </w:rPr>
              <w:t>,</w:t>
            </w:r>
            <w:r>
              <w:rPr>
                <w:rFonts w:hint="eastAsia" w:ascii="宋体" w:hAnsi="宋体" w:eastAsia="宋体"/>
                <w:color w:val="auto"/>
                <w:sz w:val="21"/>
                <w:szCs w:val="21"/>
                <w:highlight w:val="none"/>
              </w:rPr>
              <w:t>000</w:t>
            </w:r>
            <w:r>
              <w:rPr>
                <w:rFonts w:ascii="宋体" w:hAnsi="宋体" w:eastAsia="宋体"/>
                <w:color w:val="auto"/>
                <w:sz w:val="21"/>
                <w:szCs w:val="21"/>
                <w:highlight w:val="none"/>
              </w:rPr>
              <w:t>,</w:t>
            </w:r>
            <w:r>
              <w:rPr>
                <w:rFonts w:hint="eastAsia" w:ascii="宋体" w:hAnsi="宋体" w:eastAsia="宋体"/>
                <w:color w:val="auto"/>
                <w:sz w:val="21"/>
                <w:szCs w:val="21"/>
                <w:highlight w:val="none"/>
              </w:rPr>
              <w:t>0</w:t>
            </w:r>
            <w:r>
              <w:rPr>
                <w:rFonts w:ascii="宋体" w:hAnsi="宋体" w:eastAsia="宋体"/>
                <w:color w:val="auto"/>
                <w:sz w:val="21"/>
                <w:szCs w:val="21"/>
                <w:highlight w:val="none"/>
              </w:rPr>
              <w:t>00</w:t>
            </w:r>
          </w:p>
        </w:tc>
        <w:tc>
          <w:tcPr>
            <w:tcW w:w="993" w:type="dxa"/>
          </w:tcPr>
          <w:p w14:paraId="1E7A6E78">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否</w:t>
            </w:r>
          </w:p>
        </w:tc>
        <w:tc>
          <w:tcPr>
            <w:tcW w:w="992" w:type="dxa"/>
          </w:tcPr>
          <w:p w14:paraId="59ECA285">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否</w:t>
            </w:r>
          </w:p>
        </w:tc>
        <w:tc>
          <w:tcPr>
            <w:tcW w:w="1701" w:type="dxa"/>
          </w:tcPr>
          <w:p w14:paraId="6623B99B">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日</w:t>
            </w:r>
          </w:p>
        </w:tc>
        <w:tc>
          <w:tcPr>
            <w:tcW w:w="1701" w:type="dxa"/>
          </w:tcPr>
          <w:p w14:paraId="039461BA">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w:t>
            </w:r>
            <w:r>
              <w:rPr>
                <w:rFonts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日</w:t>
            </w:r>
          </w:p>
        </w:tc>
        <w:tc>
          <w:tcPr>
            <w:tcW w:w="2268" w:type="dxa"/>
          </w:tcPr>
          <w:p w14:paraId="6E75DE0E">
            <w:pPr>
              <w:pStyle w:val="8"/>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威海银行股份有限公司荣成支行</w:t>
            </w:r>
          </w:p>
        </w:tc>
        <w:tc>
          <w:tcPr>
            <w:tcW w:w="1134" w:type="dxa"/>
          </w:tcPr>
          <w:p w14:paraId="3AD4B5D9">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24</w:t>
            </w:r>
            <w:r>
              <w:rPr>
                <w:rFonts w:hint="eastAsia" w:ascii="宋体" w:hAnsi="宋体" w:eastAsia="宋体"/>
                <w:color w:val="auto"/>
                <w:sz w:val="21"/>
                <w:szCs w:val="21"/>
                <w:highlight w:val="none"/>
              </w:rPr>
              <w:t>%</w:t>
            </w:r>
          </w:p>
        </w:tc>
        <w:tc>
          <w:tcPr>
            <w:tcW w:w="1134" w:type="dxa"/>
          </w:tcPr>
          <w:p w14:paraId="0D511BEE">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0.82</w:t>
            </w:r>
            <w:r>
              <w:rPr>
                <w:rFonts w:hint="eastAsia" w:ascii="宋体" w:hAnsi="宋体" w:eastAsia="宋体"/>
                <w:color w:val="auto"/>
                <w:sz w:val="21"/>
                <w:szCs w:val="21"/>
                <w:highlight w:val="none"/>
              </w:rPr>
              <w:t>%</w:t>
            </w:r>
          </w:p>
        </w:tc>
        <w:tc>
          <w:tcPr>
            <w:tcW w:w="1559" w:type="dxa"/>
          </w:tcPr>
          <w:p w14:paraId="7BA9219F">
            <w:pPr>
              <w:pStyle w:val="8"/>
              <w:spacing w:line="50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生产经营</w:t>
            </w:r>
          </w:p>
        </w:tc>
      </w:tr>
    </w:tbl>
    <w:p w14:paraId="7F5D8FE5">
      <w:pPr>
        <w:pStyle w:val="8"/>
        <w:spacing w:line="500" w:lineRule="exact"/>
        <w:rPr>
          <w:rFonts w:hint="eastAsia" w:ascii="宋体" w:hAnsi="宋体" w:eastAsia="宋体"/>
          <w:color w:val="auto"/>
          <w:highlight w:val="none"/>
        </w:rPr>
      </w:pPr>
      <w:r>
        <w:rPr>
          <w:rFonts w:hint="eastAsia" w:ascii="宋体" w:hAnsi="宋体" w:eastAsia="宋体"/>
          <w:color w:val="auto"/>
          <w:highlight w:val="none"/>
        </w:rPr>
        <w:t>1、本次股份质押的基本情况</w:t>
      </w:r>
    </w:p>
    <w:p w14:paraId="43662D8A">
      <w:pPr>
        <w:pStyle w:val="8"/>
        <w:spacing w:line="500" w:lineRule="exact"/>
        <w:ind w:left="721"/>
        <w:rPr>
          <w:rFonts w:hint="eastAsia" w:ascii="宋体" w:hAnsi="宋体" w:eastAsia="宋体"/>
          <w:color w:val="auto"/>
        </w:rPr>
      </w:pPr>
      <w:r>
        <w:rPr>
          <w:rFonts w:hint="eastAsia" w:ascii="宋体" w:hAnsi="宋体" w:eastAsia="宋体"/>
          <w:color w:val="auto"/>
        </w:rPr>
        <w:t>2、本次质押股份不涉及重大资产重组等业绩补偿义务。</w:t>
      </w:r>
    </w:p>
    <w:tbl>
      <w:tblPr>
        <w:tblStyle w:val="4"/>
        <w:tblpPr w:leftFromText="180" w:rightFromText="180" w:vertAnchor="text" w:horzAnchor="margin" w:tblpXSpec="center" w:tblpY="1025"/>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851"/>
        <w:gridCol w:w="1701"/>
        <w:gridCol w:w="1559"/>
        <w:gridCol w:w="1134"/>
        <w:gridCol w:w="1134"/>
        <w:gridCol w:w="1701"/>
        <w:gridCol w:w="1701"/>
        <w:gridCol w:w="1418"/>
        <w:gridCol w:w="1417"/>
      </w:tblGrid>
      <w:tr w14:paraId="7703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41EDEFF5">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股东名称</w:t>
            </w:r>
          </w:p>
        </w:tc>
        <w:tc>
          <w:tcPr>
            <w:tcW w:w="1417" w:type="dxa"/>
            <w:vMerge w:val="restart"/>
            <w:vAlign w:val="center"/>
          </w:tcPr>
          <w:p w14:paraId="601B6843">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持股数量（股）</w:t>
            </w:r>
          </w:p>
        </w:tc>
        <w:tc>
          <w:tcPr>
            <w:tcW w:w="851" w:type="dxa"/>
            <w:vMerge w:val="restart"/>
            <w:vAlign w:val="center"/>
          </w:tcPr>
          <w:p w14:paraId="167BBF83">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持股比例</w:t>
            </w:r>
          </w:p>
        </w:tc>
        <w:tc>
          <w:tcPr>
            <w:tcW w:w="1701" w:type="dxa"/>
            <w:vMerge w:val="restart"/>
            <w:vAlign w:val="center"/>
          </w:tcPr>
          <w:p w14:paraId="246ED105">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本次质押前累计质押数量</w:t>
            </w:r>
          </w:p>
        </w:tc>
        <w:tc>
          <w:tcPr>
            <w:tcW w:w="1559" w:type="dxa"/>
            <w:vMerge w:val="restart"/>
            <w:vAlign w:val="center"/>
          </w:tcPr>
          <w:p w14:paraId="4A556AC8">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本次质押后累计质押数量</w:t>
            </w:r>
          </w:p>
        </w:tc>
        <w:tc>
          <w:tcPr>
            <w:tcW w:w="1134" w:type="dxa"/>
            <w:vMerge w:val="restart"/>
            <w:vAlign w:val="center"/>
          </w:tcPr>
          <w:p w14:paraId="49EE5CD0">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占其所持股份比例</w:t>
            </w:r>
          </w:p>
        </w:tc>
        <w:tc>
          <w:tcPr>
            <w:tcW w:w="1134" w:type="dxa"/>
            <w:vMerge w:val="restart"/>
            <w:vAlign w:val="center"/>
          </w:tcPr>
          <w:p w14:paraId="586B6F7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占公司总股本比例</w:t>
            </w:r>
          </w:p>
        </w:tc>
        <w:tc>
          <w:tcPr>
            <w:tcW w:w="3402" w:type="dxa"/>
            <w:gridSpan w:val="2"/>
            <w:vAlign w:val="center"/>
          </w:tcPr>
          <w:p w14:paraId="2C9F917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已质押股份情况</w:t>
            </w:r>
          </w:p>
        </w:tc>
        <w:tc>
          <w:tcPr>
            <w:tcW w:w="2835" w:type="dxa"/>
            <w:gridSpan w:val="2"/>
            <w:vAlign w:val="center"/>
          </w:tcPr>
          <w:p w14:paraId="009BE098">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未质押股份情况</w:t>
            </w:r>
          </w:p>
        </w:tc>
      </w:tr>
      <w:tr w14:paraId="79CF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526" w:type="dxa"/>
            <w:vMerge w:val="continue"/>
            <w:vAlign w:val="center"/>
          </w:tcPr>
          <w:p w14:paraId="66B67531">
            <w:pPr>
              <w:pStyle w:val="8"/>
              <w:spacing w:line="500" w:lineRule="exact"/>
              <w:jc w:val="center"/>
              <w:rPr>
                <w:rFonts w:hint="eastAsia" w:ascii="宋体" w:hAnsi="宋体" w:eastAsia="宋体"/>
                <w:color w:val="auto"/>
                <w:sz w:val="21"/>
                <w:szCs w:val="21"/>
              </w:rPr>
            </w:pPr>
          </w:p>
        </w:tc>
        <w:tc>
          <w:tcPr>
            <w:tcW w:w="1417" w:type="dxa"/>
            <w:vMerge w:val="continue"/>
            <w:vAlign w:val="center"/>
          </w:tcPr>
          <w:p w14:paraId="00BAD569">
            <w:pPr>
              <w:pStyle w:val="8"/>
              <w:spacing w:line="500" w:lineRule="exact"/>
              <w:jc w:val="center"/>
              <w:rPr>
                <w:rFonts w:hint="eastAsia" w:ascii="宋体" w:hAnsi="宋体" w:eastAsia="宋体"/>
                <w:color w:val="auto"/>
                <w:sz w:val="21"/>
                <w:szCs w:val="21"/>
              </w:rPr>
            </w:pPr>
          </w:p>
        </w:tc>
        <w:tc>
          <w:tcPr>
            <w:tcW w:w="851" w:type="dxa"/>
            <w:vMerge w:val="continue"/>
            <w:vAlign w:val="center"/>
          </w:tcPr>
          <w:p w14:paraId="1A99D33F">
            <w:pPr>
              <w:pStyle w:val="8"/>
              <w:spacing w:line="500" w:lineRule="exact"/>
              <w:jc w:val="center"/>
              <w:rPr>
                <w:rFonts w:hint="eastAsia" w:ascii="宋体" w:hAnsi="宋体" w:eastAsia="宋体"/>
                <w:color w:val="auto"/>
                <w:sz w:val="21"/>
                <w:szCs w:val="21"/>
              </w:rPr>
            </w:pPr>
          </w:p>
        </w:tc>
        <w:tc>
          <w:tcPr>
            <w:tcW w:w="1701" w:type="dxa"/>
            <w:vMerge w:val="continue"/>
            <w:vAlign w:val="center"/>
          </w:tcPr>
          <w:p w14:paraId="1A49D0E9">
            <w:pPr>
              <w:pStyle w:val="8"/>
              <w:spacing w:line="500" w:lineRule="exact"/>
              <w:jc w:val="center"/>
              <w:rPr>
                <w:rFonts w:hint="eastAsia" w:ascii="宋体" w:hAnsi="宋体" w:eastAsia="宋体"/>
                <w:color w:val="auto"/>
                <w:sz w:val="21"/>
                <w:szCs w:val="21"/>
              </w:rPr>
            </w:pPr>
          </w:p>
        </w:tc>
        <w:tc>
          <w:tcPr>
            <w:tcW w:w="1559" w:type="dxa"/>
            <w:vMerge w:val="continue"/>
            <w:vAlign w:val="center"/>
          </w:tcPr>
          <w:p w14:paraId="1CE04264">
            <w:pPr>
              <w:pStyle w:val="8"/>
              <w:spacing w:line="500" w:lineRule="exact"/>
              <w:jc w:val="center"/>
              <w:rPr>
                <w:rFonts w:hint="eastAsia" w:ascii="宋体" w:hAnsi="宋体" w:eastAsia="宋体"/>
                <w:color w:val="auto"/>
                <w:sz w:val="21"/>
                <w:szCs w:val="21"/>
              </w:rPr>
            </w:pPr>
          </w:p>
        </w:tc>
        <w:tc>
          <w:tcPr>
            <w:tcW w:w="1134" w:type="dxa"/>
            <w:vMerge w:val="continue"/>
            <w:vAlign w:val="center"/>
          </w:tcPr>
          <w:p w14:paraId="625FB9F3">
            <w:pPr>
              <w:pStyle w:val="8"/>
              <w:spacing w:line="500" w:lineRule="exact"/>
              <w:jc w:val="center"/>
              <w:rPr>
                <w:rFonts w:hint="eastAsia" w:ascii="宋体" w:hAnsi="宋体" w:eastAsia="宋体"/>
                <w:color w:val="auto"/>
                <w:sz w:val="21"/>
                <w:szCs w:val="21"/>
              </w:rPr>
            </w:pPr>
          </w:p>
        </w:tc>
        <w:tc>
          <w:tcPr>
            <w:tcW w:w="1134" w:type="dxa"/>
            <w:vMerge w:val="continue"/>
            <w:vAlign w:val="center"/>
          </w:tcPr>
          <w:p w14:paraId="0D6D89A4">
            <w:pPr>
              <w:pStyle w:val="8"/>
              <w:spacing w:line="500" w:lineRule="exact"/>
              <w:jc w:val="center"/>
              <w:rPr>
                <w:rFonts w:hint="eastAsia" w:ascii="宋体" w:hAnsi="宋体" w:eastAsia="宋体"/>
                <w:color w:val="auto"/>
                <w:sz w:val="21"/>
                <w:szCs w:val="21"/>
              </w:rPr>
            </w:pPr>
          </w:p>
        </w:tc>
        <w:tc>
          <w:tcPr>
            <w:tcW w:w="1701" w:type="dxa"/>
            <w:vAlign w:val="center"/>
          </w:tcPr>
          <w:p w14:paraId="3E46190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已质押股份中限售股份数量（股）</w:t>
            </w:r>
          </w:p>
        </w:tc>
        <w:tc>
          <w:tcPr>
            <w:tcW w:w="1701" w:type="dxa"/>
            <w:vAlign w:val="center"/>
          </w:tcPr>
          <w:p w14:paraId="223A9063">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已质押股份中冻结股份数量（股）</w:t>
            </w:r>
          </w:p>
        </w:tc>
        <w:tc>
          <w:tcPr>
            <w:tcW w:w="1418" w:type="dxa"/>
            <w:vAlign w:val="center"/>
          </w:tcPr>
          <w:p w14:paraId="3BC1E8F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未质押股份中限售股份数量（股）</w:t>
            </w:r>
          </w:p>
        </w:tc>
        <w:tc>
          <w:tcPr>
            <w:tcW w:w="1417" w:type="dxa"/>
          </w:tcPr>
          <w:p w14:paraId="19129AF4">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未质押股份中冻结股份数量（股）</w:t>
            </w:r>
          </w:p>
        </w:tc>
      </w:tr>
      <w:tr w14:paraId="03C5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1AE9CC8">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好当家集团有限公司</w:t>
            </w:r>
          </w:p>
        </w:tc>
        <w:tc>
          <w:tcPr>
            <w:tcW w:w="1417" w:type="dxa"/>
          </w:tcPr>
          <w:p w14:paraId="42C17069">
            <w:pPr>
              <w:pStyle w:val="8"/>
              <w:spacing w:line="500" w:lineRule="exact"/>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5</w:t>
            </w:r>
            <w:r>
              <w:rPr>
                <w:rFonts w:hint="eastAsia" w:ascii="宋体" w:hAnsi="宋体" w:eastAsia="宋体"/>
                <w:color w:val="auto"/>
                <w:sz w:val="21"/>
                <w:szCs w:val="21"/>
                <w:highlight w:val="none"/>
                <w:lang w:val="en-US" w:eastAsia="zh-CN"/>
              </w:rPr>
              <w:t>34</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950</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90</w:t>
            </w:r>
          </w:p>
        </w:tc>
        <w:tc>
          <w:tcPr>
            <w:tcW w:w="851" w:type="dxa"/>
          </w:tcPr>
          <w:p w14:paraId="12023820">
            <w:pPr>
              <w:pStyle w:val="8"/>
              <w:spacing w:line="500" w:lineRule="exact"/>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6</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62</w:t>
            </w:r>
            <w:r>
              <w:rPr>
                <w:rFonts w:hint="eastAsia" w:ascii="宋体" w:hAnsi="宋体" w:eastAsia="宋体"/>
                <w:color w:val="auto"/>
                <w:sz w:val="21"/>
                <w:szCs w:val="21"/>
                <w:highlight w:val="none"/>
              </w:rPr>
              <w:t>%</w:t>
            </w:r>
          </w:p>
        </w:tc>
        <w:tc>
          <w:tcPr>
            <w:tcW w:w="1701" w:type="dxa"/>
          </w:tcPr>
          <w:p w14:paraId="7A2FDE24">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19</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41,400</w:t>
            </w:r>
          </w:p>
        </w:tc>
        <w:tc>
          <w:tcPr>
            <w:tcW w:w="1559" w:type="dxa"/>
          </w:tcPr>
          <w:p w14:paraId="196A05F7">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31</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41</w:t>
            </w:r>
            <w:r>
              <w:rPr>
                <w:rFonts w:ascii="宋体" w:hAnsi="宋体" w:eastAsia="宋体"/>
                <w:color w:val="auto"/>
                <w:sz w:val="21"/>
                <w:szCs w:val="21"/>
                <w:highlight w:val="none"/>
              </w:rPr>
              <w:t>,</w:t>
            </w:r>
            <w:r>
              <w:rPr>
                <w:rFonts w:hint="eastAsia" w:ascii="宋体" w:hAnsi="宋体" w:eastAsia="宋体"/>
                <w:color w:val="auto"/>
                <w:sz w:val="21"/>
                <w:szCs w:val="21"/>
                <w:highlight w:val="none"/>
              </w:rPr>
              <w:t>400</w:t>
            </w:r>
          </w:p>
        </w:tc>
        <w:tc>
          <w:tcPr>
            <w:tcW w:w="1134" w:type="dxa"/>
          </w:tcPr>
          <w:p w14:paraId="13738403">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96</w:t>
            </w:r>
            <w:r>
              <w:rPr>
                <w:rFonts w:ascii="宋体" w:hAnsi="宋体" w:eastAsia="宋体"/>
                <w:color w:val="auto"/>
                <w:sz w:val="21"/>
                <w:szCs w:val="21"/>
                <w:highlight w:val="none"/>
              </w:rPr>
              <w:t>%</w:t>
            </w:r>
          </w:p>
        </w:tc>
        <w:tc>
          <w:tcPr>
            <w:tcW w:w="1134" w:type="dxa"/>
          </w:tcPr>
          <w:p w14:paraId="519C322B">
            <w:pPr>
              <w:pStyle w:val="8"/>
              <w:spacing w:line="5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69</w:t>
            </w:r>
            <w:r>
              <w:rPr>
                <w:rFonts w:ascii="宋体" w:hAnsi="宋体" w:eastAsia="宋体"/>
                <w:color w:val="auto"/>
                <w:sz w:val="21"/>
                <w:szCs w:val="21"/>
                <w:highlight w:val="none"/>
              </w:rPr>
              <w:t>%</w:t>
            </w:r>
          </w:p>
        </w:tc>
        <w:tc>
          <w:tcPr>
            <w:tcW w:w="1701" w:type="dxa"/>
          </w:tcPr>
          <w:p w14:paraId="703D759B">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c>
          <w:tcPr>
            <w:tcW w:w="1701" w:type="dxa"/>
          </w:tcPr>
          <w:p w14:paraId="00D5C149">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c>
          <w:tcPr>
            <w:tcW w:w="1418" w:type="dxa"/>
          </w:tcPr>
          <w:p w14:paraId="2364B84E">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c>
          <w:tcPr>
            <w:tcW w:w="1417" w:type="dxa"/>
          </w:tcPr>
          <w:p w14:paraId="69FF574F">
            <w:pPr>
              <w:pStyle w:val="8"/>
              <w:spacing w:line="500" w:lineRule="exact"/>
              <w:jc w:val="center"/>
              <w:rPr>
                <w:rFonts w:hint="eastAsia" w:ascii="宋体" w:hAnsi="宋体" w:eastAsia="宋体"/>
                <w:color w:val="auto"/>
                <w:sz w:val="21"/>
                <w:szCs w:val="21"/>
              </w:rPr>
            </w:pPr>
            <w:r>
              <w:rPr>
                <w:rFonts w:hint="eastAsia" w:ascii="宋体" w:hAnsi="宋体" w:eastAsia="宋体"/>
                <w:color w:val="auto"/>
                <w:sz w:val="21"/>
                <w:szCs w:val="21"/>
              </w:rPr>
              <w:t>0</w:t>
            </w:r>
          </w:p>
        </w:tc>
      </w:tr>
    </w:tbl>
    <w:p w14:paraId="473E1D3F">
      <w:pPr>
        <w:pStyle w:val="8"/>
        <w:spacing w:line="500" w:lineRule="exact"/>
        <w:ind w:left="721"/>
        <w:rPr>
          <w:rFonts w:hint="eastAsia" w:ascii="宋体" w:hAnsi="宋体" w:eastAsia="宋体"/>
          <w:color w:val="auto"/>
        </w:rPr>
      </w:pPr>
      <w:r>
        <w:rPr>
          <w:rFonts w:hint="eastAsia" w:ascii="宋体" w:hAnsi="宋体" w:eastAsia="宋体"/>
          <w:color w:val="auto"/>
        </w:rPr>
        <w:t>3、股东累计质押股份情况</w:t>
      </w:r>
    </w:p>
    <w:p w14:paraId="34F4CF3B">
      <w:pPr>
        <w:pStyle w:val="8"/>
        <w:spacing w:line="500" w:lineRule="exact"/>
        <w:ind w:left="721"/>
        <w:rPr>
          <w:rFonts w:hint="eastAsia" w:ascii="宋体" w:hAnsi="宋体" w:eastAsia="宋体"/>
          <w:color w:val="auto"/>
        </w:rPr>
      </w:pPr>
      <w:r>
        <w:rPr>
          <w:rFonts w:hint="eastAsia" w:ascii="宋体" w:hAnsi="宋体" w:eastAsia="宋体"/>
          <w:color w:val="auto"/>
        </w:rPr>
        <w:t>截至本公告披露日，好当家集团累计质押股份情况如下：</w:t>
      </w:r>
    </w:p>
    <w:p w14:paraId="2EBEE001">
      <w:pPr>
        <w:pStyle w:val="8"/>
        <w:spacing w:line="500" w:lineRule="exact"/>
        <w:rPr>
          <w:rFonts w:hint="eastAsia" w:ascii="宋体" w:hAnsi="宋体" w:eastAsia="宋体"/>
          <w:color w:val="auto"/>
        </w:rPr>
        <w:sectPr>
          <w:pgSz w:w="16838" w:h="11906" w:orient="landscape"/>
          <w:pgMar w:top="1797" w:right="1440" w:bottom="1797" w:left="1440" w:header="851" w:footer="992" w:gutter="0"/>
          <w:cols w:space="720" w:num="1"/>
          <w:docGrid w:type="linesAndChars" w:linePitch="312" w:charSpace="0"/>
        </w:sectPr>
      </w:pPr>
    </w:p>
    <w:p w14:paraId="6BA44A79">
      <w:pPr>
        <w:pStyle w:val="8"/>
        <w:spacing w:line="500" w:lineRule="exact"/>
        <w:rPr>
          <w:rFonts w:hint="eastAsia" w:ascii="宋体" w:hAnsi="宋体" w:eastAsia="宋体"/>
          <w:b/>
          <w:color w:val="auto"/>
        </w:rPr>
      </w:pPr>
      <w:r>
        <w:rPr>
          <w:rFonts w:hint="eastAsia" w:ascii="宋体" w:hAnsi="宋体" w:eastAsia="宋体"/>
          <w:b/>
          <w:color w:val="auto"/>
        </w:rPr>
        <w:t>二、好当家集团预计未来一年内到期的质押股份情况</w:t>
      </w:r>
    </w:p>
    <w:p w14:paraId="18C9E212">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1、好当家集团未来半年到期的质押股份数量为</w:t>
      </w:r>
      <w:r>
        <w:rPr>
          <w:rFonts w:hint="eastAsia" w:ascii="宋体" w:hAnsi="宋体" w:eastAsia="宋体"/>
          <w:color w:val="auto"/>
          <w:lang w:val="en-US" w:eastAsia="zh-CN"/>
        </w:rPr>
        <w:t>57,000,000</w:t>
      </w:r>
      <w:r>
        <w:rPr>
          <w:rFonts w:hint="eastAsia" w:ascii="宋体" w:hAnsi="宋体" w:eastAsia="宋体"/>
          <w:color w:val="auto"/>
        </w:rPr>
        <w:t>股，占其所持股份比例</w:t>
      </w:r>
      <w:r>
        <w:rPr>
          <w:rFonts w:hint="eastAsia" w:ascii="宋体" w:hAnsi="宋体" w:eastAsia="宋体"/>
          <w:color w:val="auto"/>
          <w:lang w:val="en-US" w:eastAsia="zh-CN"/>
        </w:rPr>
        <w:t>10.66</w:t>
      </w:r>
      <w:r>
        <w:rPr>
          <w:rFonts w:hint="eastAsia" w:ascii="宋体" w:hAnsi="宋体" w:eastAsia="宋体"/>
          <w:color w:val="auto"/>
        </w:rPr>
        <w:t>%，占公司总股本比例</w:t>
      </w:r>
      <w:r>
        <w:rPr>
          <w:rFonts w:hint="eastAsia" w:ascii="宋体" w:hAnsi="宋体" w:eastAsia="宋体"/>
          <w:color w:val="auto"/>
          <w:lang w:val="en-US" w:eastAsia="zh-CN"/>
        </w:rPr>
        <w:t>3.90</w:t>
      </w:r>
      <w:r>
        <w:rPr>
          <w:rFonts w:hint="eastAsia" w:ascii="宋体" w:hAnsi="宋体" w:eastAsia="宋体"/>
          <w:color w:val="auto"/>
        </w:rPr>
        <w:t>%，对应融资余额为</w:t>
      </w:r>
      <w:r>
        <w:rPr>
          <w:rFonts w:hint="eastAsia" w:ascii="宋体" w:hAnsi="宋体" w:eastAsia="宋体"/>
          <w:color w:val="auto"/>
          <w:lang w:val="en-US" w:eastAsia="zh-CN"/>
        </w:rPr>
        <w:t>5</w:t>
      </w:r>
      <w:r>
        <w:rPr>
          <w:rFonts w:hint="eastAsia" w:ascii="宋体" w:hAnsi="宋体" w:eastAsia="宋体"/>
          <w:color w:val="auto"/>
        </w:rPr>
        <w:t>,</w:t>
      </w:r>
      <w:r>
        <w:rPr>
          <w:rFonts w:hint="eastAsia" w:ascii="宋体" w:hAnsi="宋体" w:eastAsia="宋体"/>
          <w:color w:val="auto"/>
          <w:lang w:val="en-US" w:eastAsia="zh-CN"/>
        </w:rPr>
        <w:t>6</w:t>
      </w:r>
      <w:r>
        <w:rPr>
          <w:rFonts w:hint="eastAsia" w:ascii="宋体" w:hAnsi="宋体" w:eastAsia="宋体"/>
          <w:color w:val="auto"/>
        </w:rPr>
        <w:t>00万元</w:t>
      </w:r>
      <w:r>
        <w:rPr>
          <w:rFonts w:hint="eastAsia" w:ascii="宋体" w:hAnsi="宋体" w:eastAsia="宋体"/>
          <w:color w:val="auto"/>
          <w:lang w:val="en-US" w:eastAsia="zh-CN"/>
        </w:rPr>
        <w:t>；</w:t>
      </w:r>
      <w:r>
        <w:rPr>
          <w:rFonts w:hint="eastAsia" w:ascii="宋体" w:hAnsi="宋体" w:eastAsia="宋体"/>
          <w:color w:val="auto"/>
        </w:rPr>
        <w:t>未来一年内到期的质押股份数量为</w:t>
      </w:r>
      <w:r>
        <w:rPr>
          <w:rFonts w:hint="eastAsia" w:ascii="宋体" w:hAnsi="宋体" w:eastAsia="宋体"/>
          <w:color w:val="auto"/>
          <w:lang w:val="en-US" w:eastAsia="zh-CN"/>
        </w:rPr>
        <w:t>151</w:t>
      </w:r>
      <w:r>
        <w:rPr>
          <w:rFonts w:hint="eastAsia" w:ascii="宋体" w:hAnsi="宋体" w:eastAsia="宋体"/>
          <w:color w:val="auto"/>
        </w:rPr>
        <w:t>,</w:t>
      </w:r>
      <w:r>
        <w:rPr>
          <w:rFonts w:hint="eastAsia" w:ascii="宋体" w:hAnsi="宋体" w:eastAsia="宋体"/>
          <w:color w:val="auto"/>
          <w:lang w:val="en-US" w:eastAsia="zh-CN"/>
        </w:rPr>
        <w:t>0</w:t>
      </w:r>
      <w:r>
        <w:rPr>
          <w:rFonts w:hint="eastAsia" w:ascii="宋体" w:hAnsi="宋体" w:eastAsia="宋体"/>
          <w:color w:val="auto"/>
        </w:rPr>
        <w:t>00,000股，占其所持股份比例</w:t>
      </w:r>
      <w:r>
        <w:rPr>
          <w:rFonts w:hint="eastAsia" w:ascii="宋体" w:hAnsi="宋体" w:eastAsia="宋体"/>
          <w:color w:val="auto"/>
          <w:lang w:val="en-US" w:eastAsia="zh-CN"/>
        </w:rPr>
        <w:t>28</w:t>
      </w:r>
      <w:r>
        <w:rPr>
          <w:rFonts w:hint="eastAsia" w:ascii="宋体" w:hAnsi="宋体" w:eastAsia="宋体"/>
          <w:color w:val="auto"/>
        </w:rPr>
        <w:t>.</w:t>
      </w:r>
      <w:r>
        <w:rPr>
          <w:rFonts w:hint="eastAsia" w:ascii="宋体" w:hAnsi="宋体" w:eastAsia="宋体"/>
          <w:color w:val="auto"/>
          <w:lang w:val="en-US" w:eastAsia="zh-CN"/>
        </w:rPr>
        <w:t>23</w:t>
      </w:r>
      <w:r>
        <w:rPr>
          <w:rFonts w:hint="eastAsia" w:ascii="宋体" w:hAnsi="宋体" w:eastAsia="宋体"/>
          <w:color w:val="auto"/>
        </w:rPr>
        <w:t>%，占公司总股本比例</w:t>
      </w:r>
      <w:r>
        <w:rPr>
          <w:rFonts w:hint="eastAsia" w:ascii="宋体" w:hAnsi="宋体" w:eastAsia="宋体"/>
          <w:color w:val="auto"/>
          <w:lang w:val="en-US" w:eastAsia="zh-CN"/>
        </w:rPr>
        <w:t>10.34</w:t>
      </w:r>
      <w:r>
        <w:rPr>
          <w:rFonts w:hint="eastAsia" w:ascii="宋体" w:hAnsi="宋体" w:eastAsia="宋体"/>
          <w:color w:val="auto"/>
        </w:rPr>
        <w:t>%，对应融资余额为</w:t>
      </w:r>
      <w:r>
        <w:rPr>
          <w:rFonts w:hint="eastAsia" w:ascii="宋体" w:hAnsi="宋体" w:eastAsia="宋体"/>
          <w:color w:val="auto"/>
          <w:lang w:val="en-US" w:eastAsia="zh-CN"/>
        </w:rPr>
        <w:t>18</w:t>
      </w:r>
      <w:r>
        <w:rPr>
          <w:rFonts w:hint="eastAsia" w:ascii="宋体" w:hAnsi="宋体" w:eastAsia="宋体"/>
          <w:color w:val="auto"/>
        </w:rPr>
        <w:t>,</w:t>
      </w:r>
      <w:r>
        <w:rPr>
          <w:rFonts w:hint="eastAsia" w:ascii="宋体" w:hAnsi="宋体" w:eastAsia="宋体"/>
          <w:color w:val="auto"/>
          <w:lang w:val="en-US" w:eastAsia="zh-CN"/>
        </w:rPr>
        <w:t>6</w:t>
      </w:r>
      <w:r>
        <w:rPr>
          <w:rFonts w:hint="eastAsia" w:ascii="宋体" w:hAnsi="宋体" w:eastAsia="宋体"/>
          <w:color w:val="auto"/>
        </w:rPr>
        <w:t>00万元。</w:t>
      </w:r>
    </w:p>
    <w:p w14:paraId="13F2856A">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2、好当家集团</w:t>
      </w:r>
      <w:r>
        <w:rPr>
          <w:rFonts w:ascii="宋体" w:hAnsi="宋体" w:eastAsia="宋体"/>
          <w:color w:val="auto"/>
        </w:rPr>
        <w:t>资信状况良好，具备资金偿还能力，本次质押风险可控，到期后</w:t>
      </w:r>
      <w:r>
        <w:rPr>
          <w:rFonts w:hint="eastAsia" w:ascii="宋体" w:hAnsi="宋体" w:eastAsia="宋体"/>
          <w:color w:val="auto"/>
        </w:rPr>
        <w:t>好当家集团</w:t>
      </w:r>
      <w:r>
        <w:rPr>
          <w:rFonts w:ascii="宋体" w:hAnsi="宋体" w:eastAsia="宋体"/>
          <w:color w:val="auto"/>
        </w:rPr>
        <w:t>以自有资金偿还，不会导致公司实际控制权发生变更。</w:t>
      </w:r>
    </w:p>
    <w:p w14:paraId="59F4E1D0">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3、好当家集团不存在通过非经营性资金占用、违规担保、关联交易等侵害上市公司利益的情况。</w:t>
      </w:r>
    </w:p>
    <w:p w14:paraId="2287CC25">
      <w:pPr>
        <w:pStyle w:val="8"/>
        <w:spacing w:line="500" w:lineRule="exact"/>
        <w:ind w:firstLine="240" w:firstLineChars="100"/>
        <w:rPr>
          <w:rFonts w:hint="eastAsia" w:ascii="宋体" w:hAnsi="宋体" w:eastAsia="宋体"/>
          <w:color w:val="auto"/>
        </w:rPr>
      </w:pPr>
      <w:r>
        <w:rPr>
          <w:rFonts w:hint="eastAsia" w:ascii="宋体" w:hAnsi="宋体" w:eastAsia="宋体"/>
          <w:color w:val="auto"/>
        </w:rPr>
        <w:t>4、好当家集团股票质押对上市公司的影响</w:t>
      </w:r>
    </w:p>
    <w:p w14:paraId="4EAF6A47">
      <w:pPr>
        <w:pStyle w:val="8"/>
        <w:spacing w:line="500" w:lineRule="exact"/>
        <w:ind w:firstLine="480" w:firstLineChars="200"/>
        <w:rPr>
          <w:rFonts w:hint="eastAsia" w:ascii="宋体" w:hAnsi="宋体" w:eastAsia="宋体"/>
          <w:color w:val="auto"/>
        </w:rPr>
      </w:pPr>
      <w:r>
        <w:rPr>
          <w:rFonts w:hint="eastAsia" w:ascii="宋体" w:hAnsi="宋体" w:eastAsia="宋体"/>
          <w:color w:val="auto"/>
        </w:rPr>
        <w:t>好当家集团股票质押不会对公司主营业务、融资授信及融资成本、持续经营能力产生重大影响；不会对股东向上市公司委派董事席位、上市公司的独立性产生重大影响，不会对公司控制权稳定、股权结构、日常管理产生重大影响；本次质押股份不会对其履行业绩补偿义务的能力产生重大影响。</w:t>
      </w:r>
    </w:p>
    <w:p w14:paraId="3A8D0088">
      <w:pPr>
        <w:pStyle w:val="8"/>
        <w:spacing w:line="500" w:lineRule="exact"/>
        <w:rPr>
          <w:rFonts w:hint="eastAsia" w:ascii="宋体" w:hAnsi="宋体" w:eastAsia="宋体"/>
          <w:color w:val="auto"/>
        </w:rPr>
      </w:pPr>
    </w:p>
    <w:p w14:paraId="4E5A39F9">
      <w:pPr>
        <w:pStyle w:val="8"/>
        <w:spacing w:line="500" w:lineRule="exact"/>
        <w:ind w:firstLine="480" w:firstLineChars="200"/>
        <w:rPr>
          <w:rFonts w:hint="eastAsia" w:ascii="宋体" w:hAnsi="宋体" w:eastAsia="宋体"/>
          <w:color w:val="auto"/>
        </w:rPr>
      </w:pPr>
      <w:r>
        <w:rPr>
          <w:rFonts w:ascii="宋体" w:hAnsi="宋体" w:eastAsia="宋体"/>
          <w:color w:val="auto"/>
        </w:rPr>
        <w:t>特此公告。</w:t>
      </w:r>
    </w:p>
    <w:p w14:paraId="766ED3C1">
      <w:pPr>
        <w:pStyle w:val="8"/>
        <w:spacing w:line="500" w:lineRule="exact"/>
        <w:ind w:firstLine="480" w:firstLineChars="200"/>
        <w:rPr>
          <w:rFonts w:hint="eastAsia" w:ascii="宋体" w:hAnsi="宋体" w:eastAsia="宋体"/>
          <w:color w:val="auto"/>
        </w:rPr>
      </w:pPr>
    </w:p>
    <w:p w14:paraId="14BE8C33">
      <w:pPr>
        <w:spacing w:line="500" w:lineRule="exact"/>
        <w:ind w:right="-92" w:rightChars="-44" w:firstLine="480"/>
        <w:jc w:val="right"/>
        <w:rPr>
          <w:rFonts w:hint="eastAsia" w:ascii="宋体" w:hAnsi="宋体"/>
          <w:sz w:val="24"/>
        </w:rPr>
      </w:pPr>
      <w:r>
        <w:rPr>
          <w:rFonts w:hint="eastAsia" w:ascii="宋体" w:hAnsi="宋体"/>
          <w:sz w:val="24"/>
        </w:rPr>
        <w:t xml:space="preserve">                              山东好当家海洋发展股份有限公司</w:t>
      </w:r>
    </w:p>
    <w:p w14:paraId="04DB57FC">
      <w:pPr>
        <w:spacing w:line="500" w:lineRule="exact"/>
        <w:ind w:right="-94" w:rightChars="0" w:firstLine="5040" w:firstLineChars="2100"/>
        <w:jc w:val="right"/>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董事会</w:t>
      </w:r>
    </w:p>
    <w:p w14:paraId="6486B8DB">
      <w:pPr>
        <w:spacing w:line="500" w:lineRule="exact"/>
        <w:ind w:right="-94" w:rightChars="0" w:firstLine="5040" w:firstLineChars="2100"/>
        <w:jc w:val="right"/>
        <w:rPr>
          <w:rFonts w:hint="eastAsia" w:ascii="ˎ̥" w:hAnsi="ˎ̥"/>
          <w:sz w:val="24"/>
        </w:rPr>
      </w:pPr>
      <w:r>
        <w:rPr>
          <w:rFonts w:hint="eastAsia" w:ascii="宋体" w:hAnsi="宋体"/>
          <w:sz w:val="24"/>
          <w:lang w:val="en-US" w:eastAsia="zh-CN"/>
        </w:rPr>
        <w:t xml:space="preserve">       </w:t>
      </w:r>
      <w:r>
        <w:rPr>
          <w:rFonts w:hint="eastAsia" w:ascii="宋体" w:hAnsi="宋体"/>
          <w:sz w:val="24"/>
        </w:rPr>
        <w:t>20</w:t>
      </w:r>
      <w:r>
        <w:rPr>
          <w:rFonts w:ascii="宋体" w:hAnsi="宋体"/>
          <w:sz w:val="24"/>
        </w:rPr>
        <w:t>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15</w:t>
      </w:r>
      <w:r>
        <w:rPr>
          <w:rFonts w:hint="eastAsia" w:ascii="宋体" w:hAnsi="宋体"/>
          <w:sz w:val="24"/>
        </w:rPr>
        <w:t>日</w:t>
      </w:r>
    </w:p>
    <w:p w14:paraId="76C88D4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FD"/>
    <w:rsid w:val="00007FC4"/>
    <w:rsid w:val="00060134"/>
    <w:rsid w:val="00065F64"/>
    <w:rsid w:val="0009203B"/>
    <w:rsid w:val="00094542"/>
    <w:rsid w:val="000D62B7"/>
    <w:rsid w:val="000F64CA"/>
    <w:rsid w:val="0016776F"/>
    <w:rsid w:val="00177F4D"/>
    <w:rsid w:val="001C2019"/>
    <w:rsid w:val="00250CCD"/>
    <w:rsid w:val="00256744"/>
    <w:rsid w:val="002B7B33"/>
    <w:rsid w:val="00325BAE"/>
    <w:rsid w:val="00332924"/>
    <w:rsid w:val="003671D4"/>
    <w:rsid w:val="00371DAC"/>
    <w:rsid w:val="003A4DFD"/>
    <w:rsid w:val="003B3D59"/>
    <w:rsid w:val="003E254F"/>
    <w:rsid w:val="003E3856"/>
    <w:rsid w:val="00410730"/>
    <w:rsid w:val="004272C1"/>
    <w:rsid w:val="004B3518"/>
    <w:rsid w:val="004E10F2"/>
    <w:rsid w:val="0053023E"/>
    <w:rsid w:val="00557C84"/>
    <w:rsid w:val="005A4029"/>
    <w:rsid w:val="005A5343"/>
    <w:rsid w:val="005C4F41"/>
    <w:rsid w:val="005D52ED"/>
    <w:rsid w:val="005F493D"/>
    <w:rsid w:val="005F638F"/>
    <w:rsid w:val="00614376"/>
    <w:rsid w:val="00615118"/>
    <w:rsid w:val="006B6436"/>
    <w:rsid w:val="007074AD"/>
    <w:rsid w:val="00737631"/>
    <w:rsid w:val="007C7C7D"/>
    <w:rsid w:val="007F2AFA"/>
    <w:rsid w:val="00815326"/>
    <w:rsid w:val="008354F9"/>
    <w:rsid w:val="008C5C7B"/>
    <w:rsid w:val="008E70D3"/>
    <w:rsid w:val="008F49E9"/>
    <w:rsid w:val="00995006"/>
    <w:rsid w:val="009F5CED"/>
    <w:rsid w:val="00A67CFD"/>
    <w:rsid w:val="00AA0B3D"/>
    <w:rsid w:val="00AA334E"/>
    <w:rsid w:val="00AC56E8"/>
    <w:rsid w:val="00AD7E49"/>
    <w:rsid w:val="00B01F8F"/>
    <w:rsid w:val="00B37A87"/>
    <w:rsid w:val="00B6785E"/>
    <w:rsid w:val="00BD0303"/>
    <w:rsid w:val="00BD37B3"/>
    <w:rsid w:val="00BD392D"/>
    <w:rsid w:val="00BE7F4F"/>
    <w:rsid w:val="00C3346D"/>
    <w:rsid w:val="00C65AFE"/>
    <w:rsid w:val="00C96F1A"/>
    <w:rsid w:val="00CA52DD"/>
    <w:rsid w:val="00CC1357"/>
    <w:rsid w:val="00CC1807"/>
    <w:rsid w:val="00CC3702"/>
    <w:rsid w:val="00D05BB9"/>
    <w:rsid w:val="00D07251"/>
    <w:rsid w:val="00D23194"/>
    <w:rsid w:val="00D81942"/>
    <w:rsid w:val="00D83726"/>
    <w:rsid w:val="00D85D47"/>
    <w:rsid w:val="00DC1881"/>
    <w:rsid w:val="00DD3B4D"/>
    <w:rsid w:val="00DD41A2"/>
    <w:rsid w:val="00E076FD"/>
    <w:rsid w:val="00E17D64"/>
    <w:rsid w:val="00E23FA7"/>
    <w:rsid w:val="00E321D3"/>
    <w:rsid w:val="00E53FC2"/>
    <w:rsid w:val="00EA4932"/>
    <w:rsid w:val="00F8774E"/>
    <w:rsid w:val="00F87CA1"/>
    <w:rsid w:val="00F90E21"/>
    <w:rsid w:val="00F965B1"/>
    <w:rsid w:val="02760BCA"/>
    <w:rsid w:val="04AB34AC"/>
    <w:rsid w:val="08743266"/>
    <w:rsid w:val="13EA178A"/>
    <w:rsid w:val="1A0A7151"/>
    <w:rsid w:val="1D536FED"/>
    <w:rsid w:val="1DEC72A2"/>
    <w:rsid w:val="1E292C50"/>
    <w:rsid w:val="1FF468DA"/>
    <w:rsid w:val="25F55AC3"/>
    <w:rsid w:val="29DC6937"/>
    <w:rsid w:val="2BDB01B5"/>
    <w:rsid w:val="2DF76C6A"/>
    <w:rsid w:val="332A1222"/>
    <w:rsid w:val="3ABC3710"/>
    <w:rsid w:val="4230334A"/>
    <w:rsid w:val="469A6FE4"/>
    <w:rsid w:val="4B0C61BE"/>
    <w:rsid w:val="4BB34937"/>
    <w:rsid w:val="4D174830"/>
    <w:rsid w:val="4DCE46F3"/>
    <w:rsid w:val="547E4635"/>
    <w:rsid w:val="59B8491D"/>
    <w:rsid w:val="5A3B68D8"/>
    <w:rsid w:val="623626F0"/>
    <w:rsid w:val="63161C90"/>
    <w:rsid w:val="6B470E57"/>
    <w:rsid w:val="78CC09CF"/>
    <w:rsid w:val="793219A9"/>
    <w:rsid w:val="7C0B79A3"/>
    <w:rsid w:val="7C0E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新宋体" w:hAnsi="Times New Roman" w:eastAsia="新宋体" w:cs="新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1199</Words>
  <Characters>1404</Characters>
  <Lines>10</Lines>
  <Paragraphs>3</Paragraphs>
  <TotalTime>168</TotalTime>
  <ScaleCrop>false</ScaleCrop>
  <LinksUpToDate>false</LinksUpToDate>
  <CharactersWithSpaces>1472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2025-03-20T00:38:00Z</dcterms:created>
  <dc:creator>g h</dc:creator>
  <cp:lastModifiedBy>行者</cp:lastModifiedBy>
  <cp:lastPrinted>2026-05-03T01:21:00Z</cp:lastPrinted>
  <dcterms:modified xsi:type="dcterms:W3CDTF">2026-05-15T07:20:47Z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DB5BC35A15D2423A8553397C9A9D4AF6_12</vt:lpwstr>
  </property>
</Properties>
</file>